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7AF1A" w14:textId="397648F4" w:rsidR="00B231EF" w:rsidRPr="00B231EF" w:rsidRDefault="00E4566B" w:rsidP="003E2AC8">
      <w:pPr>
        <w:spacing w:line="276" w:lineRule="auto"/>
        <w:outlineLvl w:val="0"/>
        <w:rPr>
          <w:rFonts w:asciiTheme="minorHAnsi" w:hAnsiTheme="minorHAnsi" w:cstheme="minorHAnsi"/>
          <w:sz w:val="28"/>
          <w:szCs w:val="28"/>
        </w:rPr>
      </w:pPr>
      <w:bookmarkStart w:id="0" w:name="_GoBack"/>
      <w:bookmarkEnd w:id="0"/>
      <w:r>
        <w:rPr>
          <w:rFonts w:asciiTheme="minorHAnsi" w:hAnsiTheme="minorHAnsi" w:cstheme="minorHAnsi"/>
          <w:sz w:val="28"/>
          <w:szCs w:val="28"/>
        </w:rPr>
        <w:t>Te ORA</w:t>
      </w:r>
      <w:r w:rsidR="008556B5">
        <w:rPr>
          <w:rFonts w:asciiTheme="minorHAnsi" w:hAnsiTheme="minorHAnsi" w:cstheme="minorHAnsi"/>
          <w:sz w:val="28"/>
          <w:szCs w:val="28"/>
        </w:rPr>
        <w:t xml:space="preserve"> </w:t>
      </w:r>
      <w:r w:rsidR="00B231EF" w:rsidRPr="00B231EF">
        <w:rPr>
          <w:rFonts w:asciiTheme="minorHAnsi" w:hAnsiTheme="minorHAnsi" w:cstheme="minorHAnsi"/>
          <w:sz w:val="28"/>
          <w:szCs w:val="28"/>
        </w:rPr>
        <w:t>submission to the Mental Health and Addiction Inquiry</w:t>
      </w:r>
    </w:p>
    <w:p w14:paraId="172555BC" w14:textId="77777777" w:rsidR="00B231EF" w:rsidRPr="00B231EF" w:rsidRDefault="00B231EF" w:rsidP="00B231EF">
      <w:pPr>
        <w:spacing w:line="276" w:lineRule="auto"/>
        <w:rPr>
          <w:rFonts w:asciiTheme="minorHAnsi" w:hAnsiTheme="minorHAnsi" w:cstheme="minorHAnsi"/>
        </w:rPr>
      </w:pPr>
    </w:p>
    <w:p w14:paraId="5C230FE1" w14:textId="6364BFC3" w:rsidR="00EA3049" w:rsidRPr="00B231EF" w:rsidRDefault="003E2AC8" w:rsidP="00B231EF">
      <w:pPr>
        <w:spacing w:line="276" w:lineRule="auto"/>
        <w:rPr>
          <w:rFonts w:asciiTheme="minorHAnsi" w:hAnsiTheme="minorHAnsi" w:cstheme="minorHAnsi"/>
        </w:rPr>
      </w:pPr>
      <w:r>
        <w:rPr>
          <w:rFonts w:asciiTheme="minorHAnsi" w:hAnsiTheme="minorHAnsi" w:cstheme="minorHAnsi"/>
        </w:rPr>
        <w:t>Te ORA, the Māori M</w:t>
      </w:r>
      <w:r w:rsidR="00376840" w:rsidRPr="00B231EF">
        <w:rPr>
          <w:rFonts w:asciiTheme="minorHAnsi" w:hAnsiTheme="minorHAnsi" w:cstheme="minorHAnsi"/>
        </w:rPr>
        <w:t xml:space="preserve">edical Practitioners Association </w:t>
      </w:r>
      <w:r w:rsidR="00B231EF">
        <w:rPr>
          <w:rFonts w:asciiTheme="minorHAnsi" w:hAnsiTheme="minorHAnsi" w:cstheme="minorHAnsi"/>
        </w:rPr>
        <w:t>acknowledges the work of the</w:t>
      </w:r>
      <w:r w:rsidR="00EA3049" w:rsidRPr="00B231EF">
        <w:rPr>
          <w:rFonts w:asciiTheme="minorHAnsi" w:hAnsiTheme="minorHAnsi" w:cstheme="minorHAnsi"/>
        </w:rPr>
        <w:t xml:space="preserve"> Mental Health and Addiction Inquiry </w:t>
      </w:r>
      <w:r w:rsidR="00376840" w:rsidRPr="00B231EF">
        <w:rPr>
          <w:rFonts w:asciiTheme="minorHAnsi" w:hAnsiTheme="minorHAnsi" w:cstheme="minorHAnsi"/>
        </w:rPr>
        <w:t xml:space="preserve">and respectfully forwards this </w:t>
      </w:r>
      <w:r w:rsidR="00EA3049" w:rsidRPr="00B231EF">
        <w:rPr>
          <w:rFonts w:asciiTheme="minorHAnsi" w:hAnsiTheme="minorHAnsi" w:cstheme="minorHAnsi"/>
        </w:rPr>
        <w:t>submission.</w:t>
      </w:r>
    </w:p>
    <w:p w14:paraId="50D0BC32" w14:textId="77777777" w:rsidR="00C546FC" w:rsidRDefault="00C546FC" w:rsidP="00B231EF">
      <w:pPr>
        <w:spacing w:line="276" w:lineRule="auto"/>
        <w:rPr>
          <w:rFonts w:asciiTheme="minorHAnsi" w:hAnsiTheme="minorHAnsi" w:cstheme="minorHAnsi"/>
        </w:rPr>
      </w:pPr>
    </w:p>
    <w:p w14:paraId="27B24276" w14:textId="77777777" w:rsidR="00C546FC" w:rsidRDefault="00E4566B" w:rsidP="00C546FC">
      <w:pPr>
        <w:rPr>
          <w:rFonts w:asciiTheme="minorHAnsi" w:hAnsiTheme="minorHAnsi" w:cstheme="minorHAnsi"/>
          <w:color w:val="000000" w:themeColor="text1"/>
          <w:shd w:val="clear" w:color="auto" w:fill="FFFFFF"/>
        </w:rPr>
      </w:pPr>
      <w:r>
        <w:rPr>
          <w:rFonts w:asciiTheme="minorHAnsi" w:hAnsiTheme="minorHAnsi" w:cstheme="minorHAnsi"/>
        </w:rPr>
        <w:t>Te ORA</w:t>
      </w:r>
      <w:r w:rsidR="00C546FC">
        <w:rPr>
          <w:rFonts w:asciiTheme="minorHAnsi" w:hAnsiTheme="minorHAnsi" w:cstheme="minorHAnsi"/>
        </w:rPr>
        <w:t xml:space="preserve"> </w:t>
      </w:r>
      <w:r w:rsidR="00EA3049" w:rsidRPr="00B231EF">
        <w:rPr>
          <w:rFonts w:asciiTheme="minorHAnsi" w:hAnsiTheme="minorHAnsi" w:cstheme="minorHAnsi"/>
        </w:rPr>
        <w:t xml:space="preserve">is the professional body representing </w:t>
      </w:r>
      <w:r w:rsidR="00C546FC">
        <w:rPr>
          <w:rFonts w:asciiTheme="minorHAnsi" w:hAnsiTheme="minorHAnsi" w:cstheme="minorHAnsi"/>
        </w:rPr>
        <w:t xml:space="preserve">approximately 350 </w:t>
      </w:r>
      <w:r w:rsidR="00376840" w:rsidRPr="00B231EF">
        <w:rPr>
          <w:rFonts w:asciiTheme="minorHAnsi" w:hAnsiTheme="minorHAnsi" w:cstheme="minorHAnsi"/>
        </w:rPr>
        <w:t xml:space="preserve">Māori medical practitioner across </w:t>
      </w:r>
      <w:r w:rsidR="00C546FC">
        <w:rPr>
          <w:rFonts w:asciiTheme="minorHAnsi" w:hAnsiTheme="minorHAnsi" w:cstheme="minorHAnsi"/>
        </w:rPr>
        <w:t xml:space="preserve">general medical practice and the </w:t>
      </w:r>
      <w:r w:rsidR="00376840" w:rsidRPr="00B231EF">
        <w:rPr>
          <w:rFonts w:asciiTheme="minorHAnsi" w:hAnsiTheme="minorHAnsi" w:cstheme="minorHAnsi"/>
        </w:rPr>
        <w:t xml:space="preserve">specialties. </w:t>
      </w:r>
      <w:r w:rsidR="00C546FC">
        <w:rPr>
          <w:rFonts w:asciiTheme="minorHAnsi" w:hAnsiTheme="minorHAnsi" w:cstheme="minorHAnsi"/>
          <w:color w:val="000000" w:themeColor="text1"/>
          <w:shd w:val="clear" w:color="auto" w:fill="FFFFFF"/>
        </w:rPr>
        <w:t xml:space="preserve">Our members include </w:t>
      </w:r>
      <w:r w:rsidR="00C546FC" w:rsidRPr="00C546FC">
        <w:rPr>
          <w:rFonts w:asciiTheme="minorHAnsi" w:hAnsiTheme="minorHAnsi" w:cstheme="minorHAnsi"/>
          <w:color w:val="000000" w:themeColor="text1"/>
          <w:shd w:val="clear" w:color="auto" w:fill="FFFFFF"/>
        </w:rPr>
        <w:t>students and doctors</w:t>
      </w:r>
      <w:r w:rsidR="00C546FC">
        <w:rPr>
          <w:rFonts w:asciiTheme="minorHAnsi" w:hAnsiTheme="minorHAnsi" w:cstheme="minorHAnsi"/>
          <w:color w:val="000000" w:themeColor="text1"/>
          <w:shd w:val="clear" w:color="auto" w:fill="FFFFFF"/>
        </w:rPr>
        <w:t xml:space="preserve">. We work as </w:t>
      </w:r>
      <w:r w:rsidR="00C546FC" w:rsidRPr="00C546FC">
        <w:rPr>
          <w:rFonts w:asciiTheme="minorHAnsi" w:hAnsiTheme="minorHAnsi" w:cstheme="minorHAnsi"/>
          <w:color w:val="000000" w:themeColor="text1"/>
          <w:shd w:val="clear" w:color="auto" w:fill="FFFFFF"/>
        </w:rPr>
        <w:t>clinicians, researchers and teachers</w:t>
      </w:r>
      <w:r w:rsidR="00C546FC">
        <w:rPr>
          <w:rFonts w:asciiTheme="minorHAnsi" w:hAnsiTheme="minorHAnsi" w:cstheme="minorHAnsi"/>
          <w:color w:val="000000" w:themeColor="text1"/>
          <w:shd w:val="clear" w:color="auto" w:fill="FFFFFF"/>
        </w:rPr>
        <w:t>.</w:t>
      </w:r>
      <w:r w:rsidR="00C546FC" w:rsidRPr="00B231EF">
        <w:rPr>
          <w:rFonts w:asciiTheme="minorHAnsi" w:hAnsiTheme="minorHAnsi" w:cstheme="minorHAnsi"/>
        </w:rPr>
        <w:t xml:space="preserve"> </w:t>
      </w:r>
      <w:r w:rsidR="00376840" w:rsidRPr="00B231EF">
        <w:rPr>
          <w:rFonts w:asciiTheme="minorHAnsi" w:hAnsiTheme="minorHAnsi" w:cstheme="minorHAnsi"/>
        </w:rPr>
        <w:t xml:space="preserve">We support members in their working lives, assist younger colleagues through professional training, work with the Medical Council of New Zealand and the Council of Medical Colleges to develop cultural competency </w:t>
      </w:r>
      <w:r w:rsidR="00B231EF">
        <w:rPr>
          <w:rFonts w:asciiTheme="minorHAnsi" w:hAnsiTheme="minorHAnsi" w:cstheme="minorHAnsi"/>
        </w:rPr>
        <w:t>programmes for New Ze</w:t>
      </w:r>
      <w:r w:rsidR="00376840" w:rsidRPr="00B231EF">
        <w:rPr>
          <w:rFonts w:asciiTheme="minorHAnsi" w:hAnsiTheme="minorHAnsi" w:cstheme="minorHAnsi"/>
        </w:rPr>
        <w:t>aland (and Australian doctors) and we run and attend annual scientific meetings and international indigenous conferences for medical practitioners.</w:t>
      </w:r>
      <w:r w:rsidR="00B231EF">
        <w:rPr>
          <w:rFonts w:asciiTheme="minorHAnsi" w:hAnsiTheme="minorHAnsi" w:cstheme="minorHAnsi"/>
        </w:rPr>
        <w:t xml:space="preserve"> </w:t>
      </w:r>
      <w:r w:rsidR="00C546FC" w:rsidRPr="00C546FC">
        <w:rPr>
          <w:rFonts w:asciiTheme="minorHAnsi" w:hAnsiTheme="minorHAnsi" w:cstheme="minorHAnsi"/>
          <w:color w:val="000000" w:themeColor="text1"/>
          <w:shd w:val="clear" w:color="auto" w:fill="FFFFFF"/>
        </w:rPr>
        <w:t>Te ORA’s vision is to provide Māori medical leadership to the health sector to effect Māori health development.</w:t>
      </w:r>
    </w:p>
    <w:p w14:paraId="7C063D24" w14:textId="77777777" w:rsidR="00C546FC" w:rsidRDefault="00C546FC" w:rsidP="00C546FC"/>
    <w:p w14:paraId="1661376A" w14:textId="16647C00" w:rsidR="00376840" w:rsidRDefault="00E4566B" w:rsidP="00C546FC">
      <w:pPr>
        <w:spacing w:line="276" w:lineRule="auto"/>
        <w:rPr>
          <w:rFonts w:asciiTheme="minorHAnsi" w:hAnsiTheme="minorHAnsi" w:cstheme="minorHAnsi"/>
        </w:rPr>
      </w:pPr>
      <w:r>
        <w:rPr>
          <w:rFonts w:asciiTheme="minorHAnsi" w:hAnsiTheme="minorHAnsi" w:cstheme="minorHAnsi"/>
        </w:rPr>
        <w:t>Te ORA</w:t>
      </w:r>
      <w:r w:rsidR="00C546FC">
        <w:rPr>
          <w:rFonts w:asciiTheme="minorHAnsi" w:hAnsiTheme="minorHAnsi" w:cstheme="minorHAnsi"/>
        </w:rPr>
        <w:t xml:space="preserve"> </w:t>
      </w:r>
      <w:r w:rsidR="00376840" w:rsidRPr="00B231EF">
        <w:rPr>
          <w:rFonts w:asciiTheme="minorHAnsi" w:hAnsiTheme="minorHAnsi" w:cstheme="minorHAnsi"/>
        </w:rPr>
        <w:t>is particularly cognisant of mental health needs in the Māori that are the result of:</w:t>
      </w:r>
    </w:p>
    <w:p w14:paraId="48860534" w14:textId="77777777" w:rsidR="00B231EF" w:rsidRPr="00B231EF" w:rsidRDefault="00B231EF" w:rsidP="00B231EF">
      <w:pPr>
        <w:spacing w:line="276" w:lineRule="auto"/>
        <w:rPr>
          <w:rFonts w:asciiTheme="minorHAnsi" w:hAnsiTheme="minorHAnsi" w:cstheme="minorHAnsi"/>
        </w:rPr>
      </w:pPr>
    </w:p>
    <w:p w14:paraId="00B2D6FF" w14:textId="5398EFDF" w:rsidR="00376840" w:rsidRPr="00B231EF" w:rsidRDefault="00376840" w:rsidP="00B231EF">
      <w:pPr>
        <w:pStyle w:val="ListParagraph"/>
        <w:numPr>
          <w:ilvl w:val="0"/>
          <w:numId w:val="1"/>
        </w:numPr>
        <w:spacing w:after="0"/>
        <w:rPr>
          <w:rFonts w:cstheme="minorHAnsi"/>
          <w:sz w:val="24"/>
          <w:szCs w:val="24"/>
        </w:rPr>
      </w:pPr>
      <w:r w:rsidRPr="00B231EF">
        <w:rPr>
          <w:rFonts w:cstheme="minorHAnsi"/>
          <w:sz w:val="24"/>
          <w:szCs w:val="24"/>
        </w:rPr>
        <w:t>a his</w:t>
      </w:r>
      <w:r w:rsidR="00E4566B">
        <w:rPr>
          <w:rFonts w:cstheme="minorHAnsi"/>
          <w:sz w:val="24"/>
          <w:szCs w:val="24"/>
        </w:rPr>
        <w:t xml:space="preserve">tory of colonisation, land loss, cultural </w:t>
      </w:r>
      <w:r w:rsidRPr="00B231EF">
        <w:rPr>
          <w:rFonts w:cstheme="minorHAnsi"/>
          <w:sz w:val="24"/>
          <w:szCs w:val="24"/>
        </w:rPr>
        <w:t>and economic marginalisation of Māori tribal communities over the years</w:t>
      </w:r>
      <w:r w:rsidR="00A1308C" w:rsidRPr="00B231EF">
        <w:rPr>
          <w:rFonts w:cstheme="minorHAnsi"/>
          <w:sz w:val="24"/>
          <w:szCs w:val="24"/>
        </w:rPr>
        <w:t xml:space="preserve"> and loss of any sense of self determination</w:t>
      </w:r>
      <w:r w:rsidR="00A1308C" w:rsidRPr="00B231EF">
        <w:rPr>
          <w:rStyle w:val="FootnoteReference"/>
          <w:rFonts w:cstheme="minorHAnsi"/>
          <w:sz w:val="24"/>
          <w:szCs w:val="24"/>
        </w:rPr>
        <w:footnoteReference w:id="1"/>
      </w:r>
    </w:p>
    <w:p w14:paraId="391A7D69" w14:textId="4F1CF074" w:rsidR="00722F2C" w:rsidRPr="00B231EF" w:rsidRDefault="00722F2C" w:rsidP="00B231EF">
      <w:pPr>
        <w:pStyle w:val="ListParagraph"/>
        <w:numPr>
          <w:ilvl w:val="0"/>
          <w:numId w:val="1"/>
        </w:numPr>
        <w:spacing w:after="0"/>
        <w:rPr>
          <w:rFonts w:cstheme="minorHAnsi"/>
          <w:sz w:val="24"/>
          <w:szCs w:val="24"/>
        </w:rPr>
      </w:pPr>
      <w:r w:rsidRPr="00B231EF">
        <w:rPr>
          <w:rFonts w:cstheme="minorHAnsi"/>
          <w:sz w:val="24"/>
          <w:szCs w:val="24"/>
        </w:rPr>
        <w:t xml:space="preserve">a culturally hostile societal infrastructure where </w:t>
      </w:r>
      <w:proofErr w:type="spellStart"/>
      <w:r w:rsidRPr="00B231EF">
        <w:rPr>
          <w:rFonts w:cstheme="minorHAnsi"/>
          <w:i/>
          <w:sz w:val="24"/>
          <w:szCs w:val="24"/>
        </w:rPr>
        <w:t>te</w:t>
      </w:r>
      <w:proofErr w:type="spellEnd"/>
      <w:r w:rsidRPr="00B231EF">
        <w:rPr>
          <w:rFonts w:cstheme="minorHAnsi"/>
          <w:i/>
          <w:sz w:val="24"/>
          <w:szCs w:val="24"/>
        </w:rPr>
        <w:t xml:space="preserve"> reo Māori me </w:t>
      </w:r>
      <w:proofErr w:type="spellStart"/>
      <w:r w:rsidRPr="00B231EF">
        <w:rPr>
          <w:rFonts w:cstheme="minorHAnsi"/>
          <w:i/>
          <w:sz w:val="24"/>
          <w:szCs w:val="24"/>
        </w:rPr>
        <w:t>ōna</w:t>
      </w:r>
      <w:proofErr w:type="spellEnd"/>
      <w:r w:rsidRPr="00B231EF">
        <w:rPr>
          <w:rFonts w:cstheme="minorHAnsi"/>
          <w:i/>
          <w:sz w:val="24"/>
          <w:szCs w:val="24"/>
        </w:rPr>
        <w:t xml:space="preserve"> </w:t>
      </w:r>
      <w:proofErr w:type="spellStart"/>
      <w:r w:rsidRPr="00B231EF">
        <w:rPr>
          <w:rFonts w:cstheme="minorHAnsi"/>
          <w:i/>
          <w:sz w:val="24"/>
          <w:szCs w:val="24"/>
        </w:rPr>
        <w:t>tikanga</w:t>
      </w:r>
      <w:proofErr w:type="spellEnd"/>
      <w:r w:rsidRPr="00B231EF">
        <w:rPr>
          <w:rFonts w:cstheme="minorHAnsi"/>
          <w:sz w:val="24"/>
          <w:szCs w:val="24"/>
        </w:rPr>
        <w:t xml:space="preserve">, </w:t>
      </w:r>
      <w:r w:rsidR="00E4566B">
        <w:rPr>
          <w:rFonts w:cstheme="minorHAnsi"/>
          <w:sz w:val="24"/>
          <w:szCs w:val="24"/>
        </w:rPr>
        <w:t xml:space="preserve">have </w:t>
      </w:r>
      <w:r w:rsidRPr="00B231EF">
        <w:rPr>
          <w:rFonts w:cstheme="minorHAnsi"/>
          <w:sz w:val="24"/>
          <w:szCs w:val="24"/>
        </w:rPr>
        <w:t xml:space="preserve">not attained the status where Māori individuals can ‘be </w:t>
      </w:r>
      <w:r w:rsidR="00E4566B">
        <w:rPr>
          <w:rFonts w:cstheme="minorHAnsi"/>
          <w:sz w:val="24"/>
          <w:szCs w:val="24"/>
        </w:rPr>
        <w:t>ourselves’ and ‘do our</w:t>
      </w:r>
      <w:r w:rsidRPr="00B231EF">
        <w:rPr>
          <w:rFonts w:cstheme="minorHAnsi"/>
          <w:sz w:val="24"/>
          <w:szCs w:val="24"/>
        </w:rPr>
        <w:t xml:space="preserve"> own thing’ as indigenous peoples</w:t>
      </w:r>
      <w:r w:rsidR="00A1308C" w:rsidRPr="00B231EF">
        <w:rPr>
          <w:rFonts w:cstheme="minorHAnsi"/>
          <w:sz w:val="24"/>
          <w:szCs w:val="24"/>
        </w:rPr>
        <w:t xml:space="preserve">, </w:t>
      </w:r>
      <w:r w:rsidR="00E4566B">
        <w:rPr>
          <w:rFonts w:cstheme="minorHAnsi"/>
          <w:sz w:val="24"/>
          <w:szCs w:val="24"/>
        </w:rPr>
        <w:t xml:space="preserve">having our </w:t>
      </w:r>
      <w:r w:rsidR="00A1308C" w:rsidRPr="00B231EF">
        <w:rPr>
          <w:rFonts w:cstheme="minorHAnsi"/>
          <w:sz w:val="24"/>
          <w:szCs w:val="24"/>
        </w:rPr>
        <w:t>cultural identity and the connection with the spirituality of ancestral places</w:t>
      </w:r>
      <w:r w:rsidR="00E4566B">
        <w:rPr>
          <w:rFonts w:cstheme="minorHAnsi"/>
          <w:sz w:val="24"/>
          <w:szCs w:val="24"/>
        </w:rPr>
        <w:t xml:space="preserve"> being marginalised</w:t>
      </w:r>
      <w:r w:rsidR="00A1308C" w:rsidRPr="00B231EF">
        <w:rPr>
          <w:rStyle w:val="FootnoteReference"/>
          <w:rFonts w:cstheme="minorHAnsi"/>
          <w:sz w:val="24"/>
          <w:szCs w:val="24"/>
        </w:rPr>
        <w:footnoteReference w:id="2"/>
      </w:r>
      <w:r w:rsidR="00A1308C" w:rsidRPr="00B231EF">
        <w:rPr>
          <w:rFonts w:cstheme="minorHAnsi"/>
          <w:sz w:val="24"/>
          <w:szCs w:val="24"/>
        </w:rPr>
        <w:t xml:space="preserve">, </w:t>
      </w:r>
    </w:p>
    <w:p w14:paraId="3F9A79F3" w14:textId="32BBEC1B" w:rsidR="00376840" w:rsidRPr="00B231EF" w:rsidRDefault="00376840" w:rsidP="00B231EF">
      <w:pPr>
        <w:pStyle w:val="ListParagraph"/>
        <w:numPr>
          <w:ilvl w:val="0"/>
          <w:numId w:val="1"/>
        </w:numPr>
        <w:spacing w:after="0"/>
        <w:rPr>
          <w:rFonts w:cstheme="minorHAnsi"/>
          <w:sz w:val="24"/>
          <w:szCs w:val="24"/>
        </w:rPr>
      </w:pPr>
      <w:r w:rsidRPr="00B231EF">
        <w:rPr>
          <w:rFonts w:cstheme="minorHAnsi"/>
          <w:sz w:val="24"/>
          <w:szCs w:val="24"/>
        </w:rPr>
        <w:t xml:space="preserve">an inequitable socio-economic environment where </w:t>
      </w:r>
      <w:r w:rsidR="00C32518" w:rsidRPr="00B231EF">
        <w:rPr>
          <w:rFonts w:cstheme="minorHAnsi"/>
          <w:sz w:val="24"/>
          <w:szCs w:val="24"/>
        </w:rPr>
        <w:t>Māori</w:t>
      </w:r>
      <w:r w:rsidR="00C32518">
        <w:rPr>
          <w:rFonts w:cstheme="minorHAnsi"/>
          <w:sz w:val="24"/>
          <w:szCs w:val="24"/>
        </w:rPr>
        <w:t xml:space="preserve">, like others in a similar environment, </w:t>
      </w:r>
      <w:r w:rsidRPr="00B231EF">
        <w:rPr>
          <w:rFonts w:cstheme="minorHAnsi"/>
          <w:sz w:val="24"/>
          <w:szCs w:val="24"/>
        </w:rPr>
        <w:t xml:space="preserve">continue to be </w:t>
      </w:r>
      <w:r w:rsidR="00E4566B">
        <w:rPr>
          <w:rFonts w:cstheme="minorHAnsi"/>
          <w:sz w:val="24"/>
          <w:szCs w:val="24"/>
        </w:rPr>
        <w:t xml:space="preserve">failed by the education system, </w:t>
      </w:r>
      <w:r w:rsidRPr="00B231EF">
        <w:rPr>
          <w:rFonts w:cstheme="minorHAnsi"/>
          <w:sz w:val="24"/>
          <w:szCs w:val="24"/>
        </w:rPr>
        <w:t xml:space="preserve">under-employed, </w:t>
      </w:r>
      <w:r w:rsidR="00E4566B">
        <w:rPr>
          <w:rFonts w:cstheme="minorHAnsi"/>
          <w:sz w:val="24"/>
          <w:szCs w:val="24"/>
        </w:rPr>
        <w:t xml:space="preserve">more likely to be </w:t>
      </w:r>
      <w:r w:rsidRPr="00B231EF">
        <w:rPr>
          <w:rFonts w:cstheme="minorHAnsi"/>
          <w:sz w:val="24"/>
          <w:szCs w:val="24"/>
        </w:rPr>
        <w:t>imprisoned and socially isolated from the ‘social determinants of resilience’</w:t>
      </w:r>
      <w:r w:rsidR="00B7084C" w:rsidRPr="00B231EF">
        <w:rPr>
          <w:rStyle w:val="FootnoteReference"/>
          <w:rFonts w:cstheme="minorHAnsi"/>
          <w:sz w:val="24"/>
          <w:szCs w:val="24"/>
        </w:rPr>
        <w:footnoteReference w:id="3"/>
      </w:r>
    </w:p>
    <w:p w14:paraId="4849E86E" w14:textId="1CB7A45E" w:rsidR="00722F2C" w:rsidRDefault="00722F2C" w:rsidP="00B231EF">
      <w:pPr>
        <w:pStyle w:val="ListParagraph"/>
        <w:numPr>
          <w:ilvl w:val="0"/>
          <w:numId w:val="1"/>
        </w:numPr>
        <w:spacing w:after="0"/>
        <w:rPr>
          <w:rFonts w:cstheme="minorHAnsi"/>
          <w:sz w:val="24"/>
          <w:szCs w:val="24"/>
        </w:rPr>
      </w:pPr>
      <w:r w:rsidRPr="00B231EF">
        <w:rPr>
          <w:rFonts w:cstheme="minorHAnsi"/>
          <w:sz w:val="24"/>
          <w:szCs w:val="24"/>
        </w:rPr>
        <w:t>Culturally incompetent mental health workers and institutional racism in mental health services</w:t>
      </w:r>
    </w:p>
    <w:p w14:paraId="588274E7" w14:textId="77777777" w:rsidR="00B231EF" w:rsidRPr="00B231EF" w:rsidRDefault="00B231EF" w:rsidP="00B231EF">
      <w:pPr>
        <w:rPr>
          <w:rFonts w:cstheme="minorHAnsi"/>
        </w:rPr>
      </w:pPr>
    </w:p>
    <w:p w14:paraId="56B5F251" w14:textId="6E5D87DF" w:rsidR="00B7084C" w:rsidRPr="00B231EF" w:rsidRDefault="008F4A49" w:rsidP="00B231EF">
      <w:pPr>
        <w:shd w:val="clear" w:color="auto" w:fill="FFFFFF"/>
        <w:spacing w:line="276" w:lineRule="auto"/>
        <w:rPr>
          <w:rFonts w:asciiTheme="minorHAnsi" w:hAnsiTheme="minorHAnsi" w:cstheme="minorHAnsi"/>
          <w:bCs/>
          <w:lang w:eastAsia="en-NZ"/>
        </w:rPr>
      </w:pPr>
      <w:r w:rsidRPr="00B231EF">
        <w:rPr>
          <w:rFonts w:asciiTheme="minorHAnsi" w:hAnsiTheme="minorHAnsi" w:cstheme="minorHAnsi"/>
        </w:rPr>
        <w:t>W</w:t>
      </w:r>
      <w:r w:rsidR="00722F2C" w:rsidRPr="00B231EF">
        <w:rPr>
          <w:rFonts w:asciiTheme="minorHAnsi" w:hAnsiTheme="minorHAnsi" w:cstheme="minorHAnsi"/>
        </w:rPr>
        <w:t xml:space="preserve">e are supportive of, as others will be, the longer term strategies around </w:t>
      </w:r>
      <w:r w:rsidR="00376840" w:rsidRPr="00B231EF">
        <w:rPr>
          <w:rFonts w:asciiTheme="minorHAnsi" w:hAnsiTheme="minorHAnsi" w:cstheme="minorHAnsi"/>
        </w:rPr>
        <w:t xml:space="preserve"> </w:t>
      </w:r>
      <w:r w:rsidR="00722F2C" w:rsidRPr="00B231EF">
        <w:rPr>
          <w:rFonts w:asciiTheme="minorHAnsi" w:hAnsiTheme="minorHAnsi" w:cstheme="minorHAnsi"/>
          <w:bCs/>
          <w:lang w:eastAsia="en-NZ"/>
        </w:rPr>
        <w:t xml:space="preserve">funding mental illness prevention and mental wellbeing promotion, bolstering the capacity </w:t>
      </w:r>
      <w:r w:rsidR="00E4566B">
        <w:rPr>
          <w:rFonts w:asciiTheme="minorHAnsi" w:hAnsiTheme="minorHAnsi" w:cstheme="minorHAnsi"/>
          <w:bCs/>
          <w:lang w:eastAsia="en-NZ"/>
        </w:rPr>
        <w:t xml:space="preserve">and capability </w:t>
      </w:r>
      <w:r w:rsidR="00722F2C" w:rsidRPr="00B231EF">
        <w:rPr>
          <w:rFonts w:asciiTheme="minorHAnsi" w:hAnsiTheme="minorHAnsi" w:cstheme="minorHAnsi"/>
          <w:bCs/>
          <w:lang w:eastAsia="en-NZ"/>
        </w:rPr>
        <w:t>of mental health treatment services and indeed, the very long term objective of addressing the social determinants of mental health by a redistribution of the resources of our society</w:t>
      </w:r>
      <w:r w:rsidRPr="00B231EF">
        <w:rPr>
          <w:rFonts w:asciiTheme="minorHAnsi" w:hAnsiTheme="minorHAnsi" w:cstheme="minorHAnsi"/>
          <w:bCs/>
          <w:lang w:eastAsia="en-NZ"/>
        </w:rPr>
        <w:t>.</w:t>
      </w:r>
      <w:r w:rsidR="00B7084C" w:rsidRPr="00B231EF">
        <w:rPr>
          <w:rFonts w:asciiTheme="minorHAnsi" w:hAnsiTheme="minorHAnsi" w:cstheme="minorHAnsi"/>
          <w:bCs/>
          <w:lang w:eastAsia="en-NZ"/>
        </w:rPr>
        <w:t xml:space="preserve"> </w:t>
      </w:r>
      <w:r w:rsidRPr="00B231EF">
        <w:rPr>
          <w:rFonts w:asciiTheme="minorHAnsi" w:hAnsiTheme="minorHAnsi" w:cstheme="minorHAnsi"/>
          <w:bCs/>
          <w:lang w:eastAsia="en-NZ"/>
        </w:rPr>
        <w:t>We believe however</w:t>
      </w:r>
      <w:r w:rsidR="00722F2C" w:rsidRPr="00B231EF">
        <w:rPr>
          <w:rFonts w:asciiTheme="minorHAnsi" w:hAnsiTheme="minorHAnsi" w:cstheme="minorHAnsi"/>
          <w:bCs/>
          <w:lang w:eastAsia="en-NZ"/>
        </w:rPr>
        <w:t xml:space="preserve">, that there are short term outcomes to be gained </w:t>
      </w:r>
      <w:r w:rsidRPr="00B231EF">
        <w:rPr>
          <w:rFonts w:asciiTheme="minorHAnsi" w:hAnsiTheme="minorHAnsi" w:cstheme="minorHAnsi"/>
          <w:bCs/>
          <w:lang w:eastAsia="en-NZ"/>
        </w:rPr>
        <w:t xml:space="preserve">in the mental health services that are afforded Māori whānau that </w:t>
      </w:r>
      <w:r w:rsidR="00722F2C" w:rsidRPr="00B231EF">
        <w:rPr>
          <w:rFonts w:asciiTheme="minorHAnsi" w:hAnsiTheme="minorHAnsi" w:cstheme="minorHAnsi"/>
          <w:bCs/>
          <w:lang w:eastAsia="en-NZ"/>
        </w:rPr>
        <w:t xml:space="preserve">should be </w:t>
      </w:r>
      <w:r w:rsidRPr="00B231EF">
        <w:rPr>
          <w:rFonts w:asciiTheme="minorHAnsi" w:hAnsiTheme="minorHAnsi" w:cstheme="minorHAnsi"/>
          <w:bCs/>
          <w:lang w:eastAsia="en-NZ"/>
        </w:rPr>
        <w:t xml:space="preserve">urgently </w:t>
      </w:r>
      <w:r w:rsidR="00722F2C" w:rsidRPr="00B231EF">
        <w:rPr>
          <w:rFonts w:asciiTheme="minorHAnsi" w:hAnsiTheme="minorHAnsi" w:cstheme="minorHAnsi"/>
          <w:bCs/>
          <w:lang w:eastAsia="en-NZ"/>
        </w:rPr>
        <w:t>prioritised</w:t>
      </w:r>
      <w:r w:rsidR="00B7084C" w:rsidRPr="00B231EF">
        <w:rPr>
          <w:rFonts w:asciiTheme="minorHAnsi" w:hAnsiTheme="minorHAnsi" w:cstheme="minorHAnsi"/>
          <w:bCs/>
          <w:lang w:eastAsia="en-NZ"/>
        </w:rPr>
        <w:t xml:space="preserve"> and we proffer the view that:</w:t>
      </w:r>
    </w:p>
    <w:p w14:paraId="227CA800" w14:textId="77777777" w:rsidR="00B7084C" w:rsidRPr="00B231EF" w:rsidRDefault="00B7084C" w:rsidP="00B231EF">
      <w:pPr>
        <w:shd w:val="clear" w:color="auto" w:fill="FFFFFF"/>
        <w:spacing w:line="276" w:lineRule="auto"/>
        <w:rPr>
          <w:rFonts w:asciiTheme="minorHAnsi" w:hAnsiTheme="minorHAnsi" w:cstheme="minorHAnsi"/>
          <w:bCs/>
          <w:lang w:eastAsia="en-NZ"/>
        </w:rPr>
      </w:pPr>
    </w:p>
    <w:p w14:paraId="673EE679" w14:textId="567C1541" w:rsidR="00722F2C" w:rsidRPr="00B231EF" w:rsidRDefault="008F4A49" w:rsidP="00B231EF">
      <w:pPr>
        <w:shd w:val="clear" w:color="auto" w:fill="FFFFFF"/>
        <w:spacing w:line="276" w:lineRule="auto"/>
        <w:ind w:left="720"/>
        <w:rPr>
          <w:rFonts w:asciiTheme="minorHAnsi" w:hAnsiTheme="minorHAnsi" w:cstheme="minorHAnsi"/>
          <w:bCs/>
          <w:i/>
          <w:lang w:eastAsia="en-NZ"/>
        </w:rPr>
      </w:pPr>
      <w:r w:rsidRPr="00B231EF">
        <w:rPr>
          <w:rFonts w:asciiTheme="minorHAnsi" w:hAnsiTheme="minorHAnsi" w:cstheme="minorHAnsi"/>
          <w:bCs/>
          <w:i/>
          <w:lang w:eastAsia="en-NZ"/>
        </w:rPr>
        <w:lastRenderedPageBreak/>
        <w:t xml:space="preserve"> </w:t>
      </w:r>
      <w:r w:rsidRPr="00B231EF">
        <w:rPr>
          <w:rFonts w:asciiTheme="minorHAnsi" w:hAnsiTheme="minorHAnsi" w:cstheme="minorHAnsi"/>
          <w:b/>
          <w:bCs/>
          <w:i/>
          <w:lang w:eastAsia="en-NZ"/>
        </w:rPr>
        <w:t>Early intervention services</w:t>
      </w:r>
      <w:r w:rsidR="00B7084C" w:rsidRPr="00B231EF">
        <w:rPr>
          <w:rFonts w:asciiTheme="minorHAnsi" w:hAnsiTheme="minorHAnsi" w:cstheme="minorHAnsi"/>
          <w:b/>
          <w:bCs/>
          <w:i/>
          <w:lang w:eastAsia="en-NZ"/>
        </w:rPr>
        <w:t>,</w:t>
      </w:r>
      <w:r w:rsidRPr="00B231EF">
        <w:rPr>
          <w:rFonts w:asciiTheme="minorHAnsi" w:hAnsiTheme="minorHAnsi" w:cstheme="minorHAnsi"/>
          <w:b/>
          <w:bCs/>
          <w:i/>
          <w:lang w:eastAsia="en-NZ"/>
        </w:rPr>
        <w:t xml:space="preserve"> whose workers and the philosophy of which resonate with Māori ideology</w:t>
      </w:r>
      <w:r w:rsidR="00B7084C" w:rsidRPr="00B231EF">
        <w:rPr>
          <w:rFonts w:asciiTheme="minorHAnsi" w:hAnsiTheme="minorHAnsi" w:cstheme="minorHAnsi"/>
          <w:b/>
          <w:bCs/>
          <w:i/>
          <w:lang w:eastAsia="en-NZ"/>
        </w:rPr>
        <w:t>,</w:t>
      </w:r>
      <w:r w:rsidRPr="00B231EF">
        <w:rPr>
          <w:rFonts w:asciiTheme="minorHAnsi" w:hAnsiTheme="minorHAnsi" w:cstheme="minorHAnsi"/>
          <w:b/>
          <w:bCs/>
          <w:i/>
          <w:lang w:eastAsia="en-NZ"/>
        </w:rPr>
        <w:t xml:space="preserve"> are </w:t>
      </w:r>
      <w:r w:rsidR="00E4566B">
        <w:rPr>
          <w:rFonts w:asciiTheme="minorHAnsi" w:hAnsiTheme="minorHAnsi" w:cstheme="minorHAnsi"/>
          <w:b/>
          <w:bCs/>
          <w:i/>
          <w:lang w:eastAsia="en-NZ"/>
        </w:rPr>
        <w:t xml:space="preserve">likely to </w:t>
      </w:r>
      <w:r w:rsidR="00A209D0">
        <w:rPr>
          <w:rFonts w:asciiTheme="minorHAnsi" w:hAnsiTheme="minorHAnsi" w:cstheme="minorHAnsi"/>
          <w:b/>
          <w:bCs/>
          <w:i/>
          <w:lang w:eastAsia="en-NZ"/>
        </w:rPr>
        <w:t xml:space="preserve">be able to </w:t>
      </w:r>
      <w:r w:rsidR="00E4566B">
        <w:rPr>
          <w:rFonts w:asciiTheme="minorHAnsi" w:hAnsiTheme="minorHAnsi" w:cstheme="minorHAnsi"/>
          <w:b/>
          <w:bCs/>
          <w:i/>
          <w:lang w:eastAsia="en-NZ"/>
        </w:rPr>
        <w:t>stem the capacity-</w:t>
      </w:r>
      <w:r w:rsidRPr="00B231EF">
        <w:rPr>
          <w:rFonts w:asciiTheme="minorHAnsi" w:hAnsiTheme="minorHAnsi" w:cstheme="minorHAnsi"/>
          <w:b/>
          <w:bCs/>
          <w:i/>
          <w:lang w:eastAsia="en-NZ"/>
        </w:rPr>
        <w:t>strain placed upon the mental health system by Māori with mental health distress</w:t>
      </w:r>
      <w:r w:rsidR="00B7084C" w:rsidRPr="00B231EF">
        <w:rPr>
          <w:rFonts w:asciiTheme="minorHAnsi" w:hAnsiTheme="minorHAnsi" w:cstheme="minorHAnsi"/>
          <w:b/>
          <w:bCs/>
          <w:i/>
          <w:lang w:eastAsia="en-NZ"/>
        </w:rPr>
        <w:t>, and the cultural capability issue inherent in the New Zealand workforce.</w:t>
      </w:r>
      <w:r w:rsidRPr="00B231EF">
        <w:rPr>
          <w:rFonts w:asciiTheme="minorHAnsi" w:hAnsiTheme="minorHAnsi" w:cstheme="minorHAnsi"/>
          <w:bCs/>
          <w:i/>
          <w:lang w:eastAsia="en-NZ"/>
        </w:rPr>
        <w:t xml:space="preserve"> </w:t>
      </w:r>
    </w:p>
    <w:p w14:paraId="72FA7E11" w14:textId="77777777" w:rsidR="00E4566B" w:rsidRDefault="00E4566B" w:rsidP="003E2AC8">
      <w:pPr>
        <w:shd w:val="clear" w:color="auto" w:fill="FFFFFF"/>
        <w:spacing w:line="276" w:lineRule="auto"/>
        <w:outlineLvl w:val="0"/>
        <w:rPr>
          <w:rFonts w:asciiTheme="minorHAnsi" w:hAnsiTheme="minorHAnsi" w:cstheme="minorHAnsi"/>
          <w:b/>
          <w:bCs/>
          <w:lang w:eastAsia="en-NZ"/>
        </w:rPr>
      </w:pPr>
    </w:p>
    <w:p w14:paraId="316B0B6F" w14:textId="17AA1588" w:rsidR="008F4A49" w:rsidRPr="00B231EF" w:rsidRDefault="008F4A49" w:rsidP="003E2AC8">
      <w:pPr>
        <w:shd w:val="clear" w:color="auto" w:fill="FFFFFF"/>
        <w:spacing w:line="276" w:lineRule="auto"/>
        <w:outlineLvl w:val="0"/>
        <w:rPr>
          <w:rFonts w:asciiTheme="minorHAnsi" w:hAnsiTheme="minorHAnsi" w:cstheme="minorHAnsi"/>
          <w:b/>
          <w:bCs/>
          <w:lang w:eastAsia="en-NZ"/>
        </w:rPr>
      </w:pPr>
      <w:r w:rsidRPr="00B231EF">
        <w:rPr>
          <w:rFonts w:asciiTheme="minorHAnsi" w:hAnsiTheme="minorHAnsi" w:cstheme="minorHAnsi"/>
          <w:b/>
          <w:bCs/>
          <w:lang w:eastAsia="en-NZ"/>
        </w:rPr>
        <w:t>What’s currently working well</w:t>
      </w:r>
      <w:r w:rsidR="009D0D31">
        <w:rPr>
          <w:rFonts w:asciiTheme="minorHAnsi" w:hAnsiTheme="minorHAnsi" w:cstheme="minorHAnsi"/>
          <w:b/>
          <w:bCs/>
          <w:lang w:eastAsia="en-NZ"/>
        </w:rPr>
        <w:t>?</w:t>
      </w:r>
    </w:p>
    <w:p w14:paraId="0A846BAC" w14:textId="77777777" w:rsidR="009D0D31" w:rsidRDefault="008F4A49" w:rsidP="009D0D31">
      <w:pPr>
        <w:spacing w:line="276" w:lineRule="auto"/>
        <w:rPr>
          <w:rFonts w:asciiTheme="minorHAnsi" w:hAnsiTheme="minorHAnsi" w:cstheme="minorHAnsi"/>
        </w:rPr>
      </w:pPr>
      <w:r w:rsidRPr="00B231EF">
        <w:rPr>
          <w:rFonts w:asciiTheme="minorHAnsi" w:hAnsiTheme="minorHAnsi" w:cstheme="minorHAnsi"/>
        </w:rPr>
        <w:t xml:space="preserve">The short answer is “Not much”. </w:t>
      </w:r>
    </w:p>
    <w:p w14:paraId="05AEA2D9" w14:textId="77777777" w:rsidR="009D0D31" w:rsidRDefault="009D0D31" w:rsidP="009D0D31">
      <w:pPr>
        <w:spacing w:line="276" w:lineRule="auto"/>
        <w:rPr>
          <w:rFonts w:asciiTheme="minorHAnsi" w:hAnsiTheme="minorHAnsi" w:cstheme="minorHAnsi"/>
        </w:rPr>
      </w:pPr>
    </w:p>
    <w:p w14:paraId="530B650E" w14:textId="152348DA" w:rsidR="009D0D31" w:rsidRPr="00B231EF" w:rsidRDefault="00DA2B4D" w:rsidP="009D0D31">
      <w:pPr>
        <w:spacing w:line="276" w:lineRule="auto"/>
        <w:rPr>
          <w:rFonts w:asciiTheme="minorHAnsi" w:hAnsiTheme="minorHAnsi" w:cstheme="minorHAnsi"/>
        </w:rPr>
      </w:pPr>
      <w:r w:rsidRPr="00B231EF">
        <w:rPr>
          <w:rFonts w:asciiTheme="minorHAnsi" w:hAnsiTheme="minorHAnsi" w:cstheme="minorHAnsi"/>
        </w:rPr>
        <w:t xml:space="preserve">People in Māori communities </w:t>
      </w:r>
      <w:r w:rsidR="008F4A49" w:rsidRPr="00B231EF">
        <w:rPr>
          <w:rFonts w:asciiTheme="minorHAnsi" w:hAnsiTheme="minorHAnsi" w:cstheme="minorHAnsi"/>
        </w:rPr>
        <w:t xml:space="preserve">do </w:t>
      </w:r>
      <w:r w:rsidRPr="00B231EF">
        <w:rPr>
          <w:rFonts w:asciiTheme="minorHAnsi" w:hAnsiTheme="minorHAnsi" w:cstheme="minorHAnsi"/>
        </w:rPr>
        <w:t xml:space="preserve">very </w:t>
      </w:r>
      <w:r w:rsidR="008F4A49" w:rsidRPr="00B231EF">
        <w:rPr>
          <w:rFonts w:asciiTheme="minorHAnsi" w:hAnsiTheme="minorHAnsi" w:cstheme="minorHAnsi"/>
        </w:rPr>
        <w:t xml:space="preserve">poorly with regard to mental health. </w:t>
      </w:r>
      <w:r w:rsidR="000E7A77" w:rsidRPr="00B231EF">
        <w:rPr>
          <w:rFonts w:asciiTheme="minorHAnsi" w:hAnsiTheme="minorHAnsi" w:cstheme="minorHAnsi"/>
        </w:rPr>
        <w:t>Prevalence of m</w:t>
      </w:r>
      <w:r w:rsidR="008F4A49" w:rsidRPr="00B231EF">
        <w:rPr>
          <w:rFonts w:asciiTheme="minorHAnsi" w:hAnsiTheme="minorHAnsi" w:cstheme="minorHAnsi"/>
        </w:rPr>
        <w:t xml:space="preserve">ental health disorders are generally </w:t>
      </w:r>
      <w:r w:rsidRPr="00B231EF">
        <w:rPr>
          <w:rFonts w:asciiTheme="minorHAnsi" w:hAnsiTheme="minorHAnsi" w:cstheme="minorHAnsi"/>
        </w:rPr>
        <w:t xml:space="preserve">not </w:t>
      </w:r>
      <w:r w:rsidR="000E7A77" w:rsidRPr="00B231EF">
        <w:rPr>
          <w:rFonts w:asciiTheme="minorHAnsi" w:hAnsiTheme="minorHAnsi" w:cstheme="minorHAnsi"/>
        </w:rPr>
        <w:t>too dissimilar</w:t>
      </w:r>
      <w:r w:rsidRPr="00B231EF">
        <w:rPr>
          <w:rFonts w:asciiTheme="minorHAnsi" w:hAnsiTheme="minorHAnsi" w:cstheme="minorHAnsi"/>
        </w:rPr>
        <w:t xml:space="preserve"> </w:t>
      </w:r>
      <w:r w:rsidR="008F4A49" w:rsidRPr="00B231EF">
        <w:rPr>
          <w:rFonts w:asciiTheme="minorHAnsi" w:hAnsiTheme="minorHAnsi" w:cstheme="minorHAnsi"/>
        </w:rPr>
        <w:t>across ethnic groups,</w:t>
      </w:r>
      <w:r w:rsidR="008F4A49" w:rsidRPr="00B231EF">
        <w:rPr>
          <w:rStyle w:val="FootnoteReference"/>
          <w:rFonts w:asciiTheme="minorHAnsi" w:hAnsiTheme="minorHAnsi" w:cstheme="minorHAnsi"/>
        </w:rPr>
        <w:footnoteReference w:id="4"/>
      </w:r>
      <w:r w:rsidRPr="00B231EF">
        <w:rPr>
          <w:rFonts w:asciiTheme="minorHAnsi" w:hAnsiTheme="minorHAnsi" w:cstheme="minorHAnsi"/>
        </w:rPr>
        <w:t xml:space="preserve"> but</w:t>
      </w:r>
      <w:r w:rsidR="008F4A49" w:rsidRPr="00B231EF">
        <w:rPr>
          <w:rFonts w:asciiTheme="minorHAnsi" w:hAnsiTheme="minorHAnsi" w:cstheme="minorHAnsi"/>
        </w:rPr>
        <w:t xml:space="preserve"> </w:t>
      </w:r>
      <w:r w:rsidRPr="00B231EF">
        <w:rPr>
          <w:rFonts w:asciiTheme="minorHAnsi" w:hAnsiTheme="minorHAnsi" w:cstheme="minorHAnsi"/>
        </w:rPr>
        <w:t xml:space="preserve">a </w:t>
      </w:r>
      <w:r w:rsidR="008F4A49" w:rsidRPr="00B231EF">
        <w:rPr>
          <w:rFonts w:asciiTheme="minorHAnsi" w:hAnsiTheme="minorHAnsi" w:cstheme="minorHAnsi"/>
        </w:rPr>
        <w:t xml:space="preserve">larger proportion of </w:t>
      </w:r>
      <w:r w:rsidR="00C32518">
        <w:rPr>
          <w:rFonts w:asciiTheme="minorHAnsi" w:hAnsiTheme="minorHAnsi" w:cstheme="minorHAnsi"/>
        </w:rPr>
        <w:t>people from Māori</w:t>
      </w:r>
      <w:r w:rsidRPr="00B231EF">
        <w:rPr>
          <w:rFonts w:asciiTheme="minorHAnsi" w:hAnsiTheme="minorHAnsi" w:cstheme="minorHAnsi"/>
        </w:rPr>
        <w:t xml:space="preserve"> communities </w:t>
      </w:r>
      <w:r w:rsidR="008F4A49" w:rsidRPr="00B231EF">
        <w:rPr>
          <w:rFonts w:asciiTheme="minorHAnsi" w:hAnsiTheme="minorHAnsi" w:cstheme="minorHAnsi"/>
        </w:rPr>
        <w:t xml:space="preserve">present </w:t>
      </w:r>
      <w:r w:rsidRPr="00B231EF">
        <w:rPr>
          <w:rFonts w:asciiTheme="minorHAnsi" w:hAnsiTheme="minorHAnsi" w:cstheme="minorHAnsi"/>
        </w:rPr>
        <w:t xml:space="preserve">with mental health problems </w:t>
      </w:r>
      <w:r w:rsidR="008F4A49" w:rsidRPr="00B231EF">
        <w:rPr>
          <w:rFonts w:asciiTheme="minorHAnsi" w:hAnsiTheme="minorHAnsi" w:cstheme="minorHAnsi"/>
        </w:rPr>
        <w:t xml:space="preserve">to </w:t>
      </w:r>
      <w:r w:rsidRPr="00B231EF">
        <w:rPr>
          <w:rFonts w:asciiTheme="minorHAnsi" w:hAnsiTheme="minorHAnsi" w:cstheme="minorHAnsi"/>
        </w:rPr>
        <w:t xml:space="preserve">their </w:t>
      </w:r>
      <w:r w:rsidR="008F4A49" w:rsidRPr="00B231EF">
        <w:rPr>
          <w:rFonts w:asciiTheme="minorHAnsi" w:hAnsiTheme="minorHAnsi" w:cstheme="minorHAnsi"/>
        </w:rPr>
        <w:t xml:space="preserve">general </w:t>
      </w:r>
      <w:r w:rsidRPr="00B231EF">
        <w:rPr>
          <w:rFonts w:asciiTheme="minorHAnsi" w:hAnsiTheme="minorHAnsi" w:cstheme="minorHAnsi"/>
        </w:rPr>
        <w:t>practitioner</w:t>
      </w:r>
      <w:r w:rsidR="00C32518">
        <w:rPr>
          <w:rFonts w:asciiTheme="minorHAnsi" w:hAnsiTheme="minorHAnsi" w:cstheme="minorHAnsi"/>
        </w:rPr>
        <w:t>,</w:t>
      </w:r>
      <w:r w:rsidR="008F4A49" w:rsidRPr="00B231EF">
        <w:rPr>
          <w:rStyle w:val="FootnoteReference"/>
          <w:rFonts w:asciiTheme="minorHAnsi" w:hAnsiTheme="minorHAnsi" w:cstheme="minorHAnsi"/>
        </w:rPr>
        <w:footnoteReference w:id="5"/>
      </w:r>
      <w:r w:rsidR="008F4A49" w:rsidRPr="00B231EF">
        <w:rPr>
          <w:rFonts w:asciiTheme="minorHAnsi" w:hAnsiTheme="minorHAnsi" w:cstheme="minorHAnsi"/>
        </w:rPr>
        <w:t xml:space="preserve"> </w:t>
      </w:r>
      <w:r w:rsidR="00C32518" w:rsidRPr="00B231EF">
        <w:rPr>
          <w:rFonts w:asciiTheme="minorHAnsi" w:hAnsiTheme="minorHAnsi" w:cstheme="minorHAnsi"/>
        </w:rPr>
        <w:t>and Māori women have twice the consultation rate of non-Māori women.</w:t>
      </w:r>
      <w:r w:rsidR="00C32518" w:rsidRPr="00B231EF">
        <w:rPr>
          <w:rFonts w:asciiTheme="minorHAnsi" w:hAnsiTheme="minorHAnsi" w:cstheme="minorHAnsi"/>
          <w:vertAlign w:val="superscript"/>
        </w:rPr>
        <w:t xml:space="preserve"> </w:t>
      </w:r>
      <w:r w:rsidR="00C32518">
        <w:rPr>
          <w:rFonts w:asciiTheme="minorHAnsi" w:hAnsiTheme="minorHAnsi" w:cstheme="minorHAnsi"/>
          <w:vertAlign w:val="superscript"/>
        </w:rPr>
        <w:t xml:space="preserve"> </w:t>
      </w:r>
      <w:r w:rsidRPr="00B231EF">
        <w:rPr>
          <w:rFonts w:asciiTheme="minorHAnsi" w:hAnsiTheme="minorHAnsi" w:cstheme="minorHAnsi"/>
        </w:rPr>
        <w:t>A</w:t>
      </w:r>
      <w:r w:rsidR="008F4A49" w:rsidRPr="00B231EF">
        <w:rPr>
          <w:rFonts w:asciiTheme="minorHAnsi" w:hAnsiTheme="minorHAnsi" w:cstheme="minorHAnsi"/>
        </w:rPr>
        <w:t>nxiety, substance abuse and depression are the main problems</w:t>
      </w:r>
      <w:r w:rsidRPr="00B231EF">
        <w:rPr>
          <w:rFonts w:asciiTheme="minorHAnsi" w:hAnsiTheme="minorHAnsi" w:cstheme="minorHAnsi"/>
        </w:rPr>
        <w:t>,</w:t>
      </w:r>
      <w:r w:rsidR="008F4A49" w:rsidRPr="00B231EF">
        <w:rPr>
          <w:rFonts w:asciiTheme="minorHAnsi" w:hAnsiTheme="minorHAnsi" w:cstheme="minorHAnsi"/>
        </w:rPr>
        <w:t xml:space="preserve"> </w:t>
      </w:r>
      <w:r w:rsidR="00C32518" w:rsidRPr="00B30DC1">
        <w:rPr>
          <w:rFonts w:asciiTheme="minorHAnsi" w:hAnsiTheme="minorHAnsi" w:cstheme="minorHAnsi"/>
        </w:rPr>
        <w:t xml:space="preserve">and </w:t>
      </w:r>
      <w:r w:rsidR="00C32518" w:rsidRPr="00803250">
        <w:rPr>
          <w:rFonts w:asciiTheme="minorHAnsi" w:hAnsiTheme="minorHAnsi" w:cstheme="minorHAnsi"/>
        </w:rPr>
        <w:t>despite 75% of disorders being moderate to severe, Maori had very low access to primary or secondary services</w:t>
      </w:r>
      <w:r w:rsidR="00C32518">
        <w:rPr>
          <w:rFonts w:asciiTheme="minorHAnsi" w:hAnsiTheme="minorHAnsi" w:cstheme="minorHAnsi"/>
        </w:rPr>
        <w:t>.</w:t>
      </w:r>
      <w:r w:rsidR="00C32518" w:rsidRPr="00B231EF">
        <w:rPr>
          <w:rStyle w:val="FootnoteReference"/>
          <w:rFonts w:asciiTheme="minorHAnsi" w:hAnsiTheme="minorHAnsi" w:cstheme="minorHAnsi"/>
        </w:rPr>
        <w:footnoteReference w:id="6"/>
      </w:r>
      <w:r w:rsidR="00C32518" w:rsidRPr="00C32518">
        <w:rPr>
          <w:rFonts w:asciiTheme="minorHAnsi" w:hAnsiTheme="minorHAnsi"/>
          <w:sz w:val="20"/>
          <w:szCs w:val="20"/>
        </w:rPr>
        <w:t xml:space="preserve"> </w:t>
      </w:r>
      <w:r w:rsidR="00C32518" w:rsidRPr="00C32518">
        <w:rPr>
          <w:rFonts w:asciiTheme="minorHAnsi" w:hAnsiTheme="minorHAnsi"/>
        </w:rPr>
        <w:t>General practitioners admit to underdiagnosing mental health problems among Māori</w:t>
      </w:r>
      <w:r w:rsidR="00C32518">
        <w:rPr>
          <w:rFonts w:asciiTheme="minorHAnsi" w:hAnsiTheme="minorHAnsi"/>
        </w:rPr>
        <w:t>, particularly depression.</w:t>
      </w:r>
      <w:r w:rsidR="00C32518">
        <w:rPr>
          <w:rStyle w:val="FootnoteReference"/>
          <w:rFonts w:asciiTheme="minorHAnsi" w:hAnsiTheme="minorHAnsi"/>
        </w:rPr>
        <w:footnoteReference w:id="7"/>
      </w:r>
      <w:r w:rsidR="009D0D31">
        <w:rPr>
          <w:rFonts w:asciiTheme="minorHAnsi" w:hAnsiTheme="minorHAnsi"/>
        </w:rPr>
        <w:t xml:space="preserve"> </w:t>
      </w:r>
      <w:r w:rsidR="009D0D31">
        <w:rPr>
          <w:rFonts w:asciiTheme="minorHAnsi" w:hAnsiTheme="minorHAnsi" w:cstheme="minorHAnsi"/>
        </w:rPr>
        <w:t>Awareness of the lower presentation rates,</w:t>
      </w:r>
      <w:r w:rsidR="009D0D31">
        <w:rPr>
          <w:rStyle w:val="FootnoteReference"/>
          <w:rFonts w:asciiTheme="minorHAnsi" w:hAnsiTheme="minorHAnsi" w:cstheme="minorHAnsi"/>
        </w:rPr>
        <w:footnoteReference w:id="8"/>
      </w:r>
      <w:r w:rsidR="009D0D31">
        <w:rPr>
          <w:rFonts w:asciiTheme="minorHAnsi" w:hAnsiTheme="minorHAnsi" w:cstheme="minorHAnsi"/>
        </w:rPr>
        <w:t xml:space="preserve"> under-diagnosis, under-investigation, lower referral rates and under-treatment</w:t>
      </w:r>
      <w:r w:rsidR="009D0D31">
        <w:rPr>
          <w:rStyle w:val="FootnoteReference"/>
          <w:rFonts w:asciiTheme="minorHAnsi" w:hAnsiTheme="minorHAnsi" w:cstheme="minorHAnsi"/>
        </w:rPr>
        <w:footnoteReference w:id="9"/>
      </w:r>
      <w:r w:rsidR="009D0D31">
        <w:rPr>
          <w:rFonts w:asciiTheme="minorHAnsi" w:hAnsiTheme="minorHAnsi" w:cstheme="minorHAnsi"/>
        </w:rPr>
        <w:t xml:space="preserve"> in primary care would point to the likelihood of this being exactly the same for mental health issues.</w:t>
      </w:r>
    </w:p>
    <w:p w14:paraId="02ED274D" w14:textId="77777777" w:rsidR="00C32518" w:rsidRDefault="00C32518" w:rsidP="00B231EF">
      <w:pPr>
        <w:spacing w:line="276" w:lineRule="auto"/>
        <w:rPr>
          <w:rFonts w:asciiTheme="minorHAnsi" w:hAnsiTheme="minorHAnsi" w:cstheme="minorHAnsi"/>
        </w:rPr>
      </w:pPr>
    </w:p>
    <w:p w14:paraId="5B37E7BF" w14:textId="0EC33C47" w:rsidR="008F4A49" w:rsidRDefault="00DA2B4D" w:rsidP="00B231EF">
      <w:pPr>
        <w:spacing w:line="276" w:lineRule="auto"/>
        <w:rPr>
          <w:rFonts w:asciiTheme="minorHAnsi" w:hAnsiTheme="minorHAnsi" w:cstheme="minorHAnsi"/>
        </w:rPr>
      </w:pPr>
      <w:r w:rsidRPr="00B231EF">
        <w:rPr>
          <w:rFonts w:asciiTheme="minorHAnsi" w:hAnsiTheme="minorHAnsi" w:cstheme="minorHAnsi"/>
        </w:rPr>
        <w:t xml:space="preserve">Māori </w:t>
      </w:r>
      <w:r w:rsidR="008F4A49" w:rsidRPr="00B231EF">
        <w:rPr>
          <w:rFonts w:asciiTheme="minorHAnsi" w:hAnsiTheme="minorHAnsi" w:cstheme="minorHAnsi"/>
        </w:rPr>
        <w:t xml:space="preserve">have more acute </w:t>
      </w:r>
      <w:r w:rsidRPr="00B231EF">
        <w:rPr>
          <w:rFonts w:asciiTheme="minorHAnsi" w:hAnsiTheme="minorHAnsi" w:cstheme="minorHAnsi"/>
        </w:rPr>
        <w:t xml:space="preserve">inpatient </w:t>
      </w:r>
      <w:r w:rsidR="008F4A49" w:rsidRPr="00B231EF">
        <w:rPr>
          <w:rFonts w:asciiTheme="minorHAnsi" w:hAnsiTheme="minorHAnsi" w:cstheme="minorHAnsi"/>
        </w:rPr>
        <w:t>admissions than others,</w:t>
      </w:r>
      <w:r w:rsidR="008F4A49" w:rsidRPr="00B231EF">
        <w:rPr>
          <w:rStyle w:val="FootnoteReference"/>
          <w:rFonts w:asciiTheme="minorHAnsi" w:hAnsiTheme="minorHAnsi" w:cstheme="minorHAnsi"/>
        </w:rPr>
        <w:footnoteReference w:id="10"/>
      </w:r>
      <w:r w:rsidR="008F4A49" w:rsidRPr="00B231EF">
        <w:rPr>
          <w:rFonts w:asciiTheme="minorHAnsi" w:hAnsiTheme="minorHAnsi" w:cstheme="minorHAnsi"/>
        </w:rPr>
        <w:t xml:space="preserve"> </w:t>
      </w:r>
      <w:r w:rsidR="00C32518">
        <w:rPr>
          <w:rFonts w:asciiTheme="minorHAnsi" w:hAnsiTheme="minorHAnsi" w:cstheme="minorHAnsi"/>
        </w:rPr>
        <w:t xml:space="preserve">have twice the relative risk of being admitted into an inpatient psychiatric unit with a diagnosis of schizophrenia or major depressive disorder, </w:t>
      </w:r>
      <w:r w:rsidR="00C32518">
        <w:rPr>
          <w:rStyle w:val="FootnoteReference"/>
          <w:rFonts w:asciiTheme="minorHAnsi" w:hAnsiTheme="minorHAnsi" w:cstheme="minorHAnsi"/>
        </w:rPr>
        <w:footnoteReference w:id="11"/>
      </w:r>
      <w:r w:rsidR="008F4A49" w:rsidRPr="00B231EF">
        <w:rPr>
          <w:rFonts w:asciiTheme="minorHAnsi" w:hAnsiTheme="minorHAnsi" w:cstheme="minorHAnsi"/>
        </w:rPr>
        <w:t>are readmitted more often after discharge,</w:t>
      </w:r>
      <w:r w:rsidR="008F4A49" w:rsidRPr="00B231EF">
        <w:rPr>
          <w:rStyle w:val="FootnoteReference"/>
          <w:rFonts w:asciiTheme="minorHAnsi" w:hAnsiTheme="minorHAnsi" w:cstheme="minorHAnsi"/>
        </w:rPr>
        <w:footnoteReference w:id="12"/>
      </w:r>
      <w:r w:rsidR="008F4A49" w:rsidRPr="00B231EF">
        <w:rPr>
          <w:rFonts w:asciiTheme="minorHAnsi" w:hAnsiTheme="minorHAnsi" w:cstheme="minorHAnsi"/>
        </w:rPr>
        <w:t xml:space="preserve"> are more likely to be secluded in hospital</w:t>
      </w:r>
      <w:r w:rsidR="008F4A49" w:rsidRPr="00B231EF">
        <w:rPr>
          <w:rStyle w:val="FootnoteReference"/>
          <w:rFonts w:asciiTheme="minorHAnsi" w:hAnsiTheme="minorHAnsi" w:cstheme="minorHAnsi"/>
        </w:rPr>
        <w:footnoteReference w:id="13"/>
      </w:r>
      <w:r w:rsidR="008F4A49" w:rsidRPr="00B231EF">
        <w:rPr>
          <w:rFonts w:asciiTheme="minorHAnsi" w:hAnsiTheme="minorHAnsi" w:cstheme="minorHAnsi"/>
        </w:rPr>
        <w:t xml:space="preserve"> and those </w:t>
      </w:r>
      <w:r w:rsidRPr="00B231EF">
        <w:rPr>
          <w:rFonts w:asciiTheme="minorHAnsi" w:hAnsiTheme="minorHAnsi" w:cstheme="minorHAnsi"/>
        </w:rPr>
        <w:t xml:space="preserve">of us </w:t>
      </w:r>
      <w:r w:rsidR="008F4A49" w:rsidRPr="00B231EF">
        <w:rPr>
          <w:rFonts w:asciiTheme="minorHAnsi" w:hAnsiTheme="minorHAnsi" w:cstheme="minorHAnsi"/>
        </w:rPr>
        <w:t>with psychotic illness are overly incarcerated in prison forensic units.</w:t>
      </w:r>
      <w:r w:rsidR="008F4A49" w:rsidRPr="00B231EF">
        <w:rPr>
          <w:rStyle w:val="FootnoteReference"/>
          <w:rFonts w:asciiTheme="minorHAnsi" w:hAnsiTheme="minorHAnsi" w:cstheme="minorHAnsi"/>
        </w:rPr>
        <w:footnoteReference w:id="14"/>
      </w:r>
      <w:r w:rsidR="008F4A49" w:rsidRPr="00B231EF">
        <w:rPr>
          <w:rFonts w:asciiTheme="minorHAnsi" w:hAnsiTheme="minorHAnsi" w:cstheme="minorHAnsi"/>
        </w:rPr>
        <w:t xml:space="preserve"> </w:t>
      </w:r>
      <w:r w:rsidR="00C32518">
        <w:rPr>
          <w:rFonts w:asciiTheme="minorHAnsi" w:hAnsiTheme="minorHAnsi" w:cstheme="minorHAnsi"/>
        </w:rPr>
        <w:t>U</w:t>
      </w:r>
      <w:r w:rsidR="00C32518" w:rsidRPr="00B231EF">
        <w:rPr>
          <w:rFonts w:asciiTheme="minorHAnsi" w:hAnsiTheme="minorHAnsi" w:cstheme="minorHAnsi"/>
        </w:rPr>
        <w:t>sing</w:t>
      </w:r>
      <w:r w:rsidR="00C32518">
        <w:rPr>
          <w:rFonts w:asciiTheme="minorHAnsi" w:hAnsiTheme="minorHAnsi" w:cstheme="minorHAnsi"/>
        </w:rPr>
        <w:t xml:space="preserve"> prioritised ethnicity</w:t>
      </w:r>
      <w:r w:rsidR="008F4A49" w:rsidRPr="00B231EF">
        <w:rPr>
          <w:rFonts w:asciiTheme="minorHAnsi" w:hAnsiTheme="minorHAnsi" w:cstheme="minorHAnsi"/>
        </w:rPr>
        <w:t xml:space="preserve">, Te Rau Hinengaro, </w:t>
      </w:r>
      <w:r w:rsidR="00C32518">
        <w:rPr>
          <w:rFonts w:asciiTheme="minorHAnsi" w:hAnsiTheme="minorHAnsi" w:cstheme="minorHAnsi"/>
        </w:rPr>
        <w:t>notes</w:t>
      </w:r>
      <w:r w:rsidR="008F4A49" w:rsidRPr="00B231EF">
        <w:rPr>
          <w:rFonts w:asciiTheme="minorHAnsi" w:hAnsiTheme="minorHAnsi" w:cstheme="minorHAnsi"/>
        </w:rPr>
        <w:t xml:space="preserve"> </w:t>
      </w:r>
      <w:r w:rsidR="00C32518">
        <w:rPr>
          <w:rFonts w:asciiTheme="minorHAnsi" w:hAnsiTheme="minorHAnsi" w:cstheme="minorHAnsi"/>
        </w:rPr>
        <w:t xml:space="preserve">that </w:t>
      </w:r>
      <w:r w:rsidR="00C32518" w:rsidRPr="00B231EF">
        <w:rPr>
          <w:rFonts w:asciiTheme="minorHAnsi" w:hAnsiTheme="minorHAnsi" w:cstheme="minorHAnsi"/>
        </w:rPr>
        <w:t xml:space="preserve">Māori </w:t>
      </w:r>
      <w:r w:rsidR="008F4A49" w:rsidRPr="00B231EF">
        <w:rPr>
          <w:rFonts w:asciiTheme="minorHAnsi" w:hAnsiTheme="minorHAnsi" w:cstheme="minorHAnsi"/>
        </w:rPr>
        <w:t xml:space="preserve">have the highest 12 month prevalence of ‘any mental health disorder’, ‘serious disorder’ or ‘mental </w:t>
      </w:r>
      <w:r w:rsidR="008F4A49" w:rsidRPr="00B231EF">
        <w:rPr>
          <w:rFonts w:asciiTheme="minorHAnsi" w:hAnsiTheme="minorHAnsi" w:cstheme="minorHAnsi"/>
        </w:rPr>
        <w:lastRenderedPageBreak/>
        <w:t>health visit’ even after adjusting for age, sex, educational qualifications and household income.</w:t>
      </w:r>
      <w:r w:rsidR="008F4A49" w:rsidRPr="00B231EF">
        <w:rPr>
          <w:rStyle w:val="FootnoteReference"/>
          <w:rFonts w:asciiTheme="minorHAnsi" w:hAnsiTheme="minorHAnsi" w:cstheme="minorHAnsi"/>
        </w:rPr>
        <w:footnoteReference w:id="15"/>
      </w:r>
      <w:r w:rsidR="008F4A49" w:rsidRPr="00B231EF">
        <w:rPr>
          <w:rFonts w:asciiTheme="minorHAnsi" w:hAnsiTheme="minorHAnsi" w:cstheme="minorHAnsi"/>
        </w:rPr>
        <w:t xml:space="preserve"> </w:t>
      </w:r>
      <w:r w:rsidR="00C32518">
        <w:rPr>
          <w:rFonts w:asciiTheme="minorHAnsi" w:hAnsiTheme="minorHAnsi" w:cstheme="minorHAnsi"/>
        </w:rPr>
        <w:t xml:space="preserve">It also </w:t>
      </w:r>
      <w:r w:rsidR="008F4A49" w:rsidRPr="00B231EF">
        <w:rPr>
          <w:rFonts w:asciiTheme="minorHAnsi" w:hAnsiTheme="minorHAnsi" w:cstheme="minorHAnsi"/>
        </w:rPr>
        <w:t>reports the national age standardised rate of suicide for Māori being almost twice that of ‘Others’ and four times</w:t>
      </w:r>
      <w:r w:rsidRPr="00B231EF">
        <w:rPr>
          <w:rFonts w:asciiTheme="minorHAnsi" w:hAnsiTheme="minorHAnsi" w:cstheme="minorHAnsi"/>
        </w:rPr>
        <w:t>, when considering</w:t>
      </w:r>
      <w:r w:rsidR="008F4A49" w:rsidRPr="00B231EF">
        <w:rPr>
          <w:rFonts w:asciiTheme="minorHAnsi" w:hAnsiTheme="minorHAnsi" w:cstheme="minorHAnsi"/>
        </w:rPr>
        <w:t xml:space="preserve"> those who were not </w:t>
      </w:r>
      <w:r w:rsidRPr="00B231EF">
        <w:rPr>
          <w:rFonts w:asciiTheme="minorHAnsi" w:hAnsiTheme="minorHAnsi" w:cstheme="minorHAnsi"/>
        </w:rPr>
        <w:t xml:space="preserve">previously </w:t>
      </w:r>
      <w:r w:rsidR="008F4A49" w:rsidRPr="00B231EF">
        <w:rPr>
          <w:rFonts w:asciiTheme="minorHAnsi" w:hAnsiTheme="minorHAnsi" w:cstheme="minorHAnsi"/>
        </w:rPr>
        <w:t xml:space="preserve">known </w:t>
      </w:r>
      <w:r w:rsidRPr="00B231EF">
        <w:rPr>
          <w:rFonts w:asciiTheme="minorHAnsi" w:hAnsiTheme="minorHAnsi" w:cstheme="minorHAnsi"/>
        </w:rPr>
        <w:t>to mental health services</w:t>
      </w:r>
      <w:r w:rsidR="00C32518">
        <w:rPr>
          <w:rFonts w:asciiTheme="minorHAnsi" w:hAnsiTheme="minorHAnsi" w:cstheme="minorHAnsi"/>
        </w:rPr>
        <w:t xml:space="preserve"> and t</w:t>
      </w:r>
      <w:r w:rsidR="008D1055" w:rsidRPr="00B231EF">
        <w:rPr>
          <w:rFonts w:asciiTheme="minorHAnsi" w:hAnsiTheme="minorHAnsi" w:cstheme="minorHAnsi"/>
        </w:rPr>
        <w:t>he Ministry of Health (2015) confirm that this is unchanged.</w:t>
      </w:r>
      <w:r w:rsidR="008D1055" w:rsidRPr="00B231EF">
        <w:rPr>
          <w:rStyle w:val="FootnoteReference"/>
          <w:rFonts w:asciiTheme="minorHAnsi" w:hAnsiTheme="minorHAnsi" w:cstheme="minorHAnsi"/>
        </w:rPr>
        <w:footnoteReference w:id="16"/>
      </w:r>
      <w:r w:rsidR="00E4566B">
        <w:rPr>
          <w:rFonts w:asciiTheme="minorHAnsi" w:hAnsiTheme="minorHAnsi" w:cstheme="minorHAnsi"/>
        </w:rPr>
        <w:t xml:space="preserve"> </w:t>
      </w:r>
    </w:p>
    <w:p w14:paraId="72EC2B0F" w14:textId="77777777" w:rsidR="00E4566B" w:rsidRDefault="00E4566B" w:rsidP="00B231EF">
      <w:pPr>
        <w:spacing w:line="276" w:lineRule="auto"/>
        <w:rPr>
          <w:rFonts w:asciiTheme="minorHAnsi" w:hAnsiTheme="minorHAnsi" w:cstheme="minorHAnsi"/>
        </w:rPr>
      </w:pPr>
    </w:p>
    <w:p w14:paraId="3FEEE34F" w14:textId="663D37F6" w:rsidR="00DA2B4D" w:rsidRPr="00B231EF" w:rsidRDefault="006B1026" w:rsidP="003E2AC8">
      <w:pPr>
        <w:spacing w:line="276" w:lineRule="auto"/>
        <w:outlineLvl w:val="0"/>
        <w:rPr>
          <w:rFonts w:asciiTheme="minorHAnsi" w:hAnsiTheme="minorHAnsi" w:cstheme="minorHAnsi"/>
          <w:b/>
        </w:rPr>
      </w:pPr>
      <w:r w:rsidRPr="00B231EF">
        <w:rPr>
          <w:rFonts w:asciiTheme="minorHAnsi" w:hAnsiTheme="minorHAnsi" w:cstheme="minorHAnsi"/>
          <w:b/>
        </w:rPr>
        <w:t>What isn’t working well?</w:t>
      </w:r>
    </w:p>
    <w:p w14:paraId="1ADFB7AA" w14:textId="764C7EF0" w:rsidR="00C32518" w:rsidRDefault="006B1026" w:rsidP="00C32518">
      <w:pPr>
        <w:spacing w:line="276" w:lineRule="auto"/>
        <w:rPr>
          <w:rFonts w:asciiTheme="minorHAnsi" w:hAnsiTheme="minorHAnsi" w:cstheme="minorHAnsi"/>
        </w:rPr>
      </w:pPr>
      <w:r w:rsidRPr="00B231EF">
        <w:rPr>
          <w:rFonts w:asciiTheme="minorHAnsi" w:hAnsiTheme="minorHAnsi" w:cstheme="minorHAnsi"/>
        </w:rPr>
        <w:t xml:space="preserve">As outlined above, </w:t>
      </w:r>
      <w:r w:rsidR="00C32518">
        <w:rPr>
          <w:rFonts w:asciiTheme="minorHAnsi" w:hAnsiTheme="minorHAnsi" w:cstheme="minorHAnsi"/>
        </w:rPr>
        <w:t>‘</w:t>
      </w:r>
      <w:r w:rsidRPr="00C32518">
        <w:rPr>
          <w:rFonts w:asciiTheme="minorHAnsi" w:hAnsiTheme="minorHAnsi" w:cstheme="minorHAnsi"/>
          <w:i/>
        </w:rPr>
        <w:t>mental health in Māori communities</w:t>
      </w:r>
      <w:r w:rsidRPr="00B231EF">
        <w:rPr>
          <w:rFonts w:asciiTheme="minorHAnsi" w:hAnsiTheme="minorHAnsi" w:cstheme="minorHAnsi"/>
        </w:rPr>
        <w:t xml:space="preserve"> </w:t>
      </w:r>
      <w:r w:rsidRPr="00C32518">
        <w:rPr>
          <w:rFonts w:asciiTheme="minorHAnsi" w:hAnsiTheme="minorHAnsi" w:cstheme="minorHAnsi"/>
          <w:i/>
        </w:rPr>
        <w:t>isn’t working well’</w:t>
      </w:r>
      <w:r w:rsidRPr="00B231EF">
        <w:rPr>
          <w:rFonts w:asciiTheme="minorHAnsi" w:hAnsiTheme="minorHAnsi" w:cstheme="minorHAnsi"/>
        </w:rPr>
        <w:t xml:space="preserve"> and neither are the services that support New Zealanders working well for Māori. We do acknowledge that poor mental health outcomes in New Zealand are across the board. But we simply note that in Māori communities, mental h</w:t>
      </w:r>
      <w:r w:rsidR="00C32518">
        <w:rPr>
          <w:rFonts w:asciiTheme="minorHAnsi" w:hAnsiTheme="minorHAnsi" w:cstheme="minorHAnsi"/>
        </w:rPr>
        <w:t xml:space="preserve">ealth outcomes are devastating. Further, we note that despite such significant differences in mental health status, we do not have any dedicated and adequately resourced focus on research that might mainstream services to understand the significance of these differences in mental health status, access to and experience of services and why the services provided often do not adequately treat the problem(s) that clients present with.  </w:t>
      </w:r>
    </w:p>
    <w:p w14:paraId="2E6CDFFF" w14:textId="77777777" w:rsidR="00C32518" w:rsidRPr="00B231EF" w:rsidRDefault="00C32518" w:rsidP="00B231EF">
      <w:pPr>
        <w:spacing w:line="276" w:lineRule="auto"/>
        <w:rPr>
          <w:rFonts w:asciiTheme="minorHAnsi" w:hAnsiTheme="minorHAnsi" w:cstheme="minorHAnsi"/>
        </w:rPr>
      </w:pPr>
    </w:p>
    <w:p w14:paraId="49F8006F" w14:textId="2A5A086C" w:rsidR="006B1026" w:rsidRDefault="006B1026" w:rsidP="00B231EF">
      <w:pPr>
        <w:spacing w:line="276" w:lineRule="auto"/>
        <w:rPr>
          <w:rFonts w:asciiTheme="minorHAnsi" w:hAnsiTheme="minorHAnsi" w:cstheme="minorHAnsi"/>
          <w:lang w:val="mi-NZ"/>
        </w:rPr>
      </w:pPr>
      <w:r w:rsidRPr="00B231EF">
        <w:rPr>
          <w:rFonts w:asciiTheme="minorHAnsi" w:hAnsiTheme="minorHAnsi" w:cstheme="minorHAnsi"/>
          <w:color w:val="000000"/>
        </w:rPr>
        <w:t>We make mention of the capacity problems experienced by the mental health services where demand has soared</w:t>
      </w:r>
      <w:r w:rsidRPr="00B231EF">
        <w:rPr>
          <w:rFonts w:asciiTheme="minorHAnsi" w:hAnsiTheme="minorHAnsi" w:cstheme="minorHAnsi"/>
          <w:color w:val="000000" w:themeColor="text1"/>
        </w:rPr>
        <w:t xml:space="preserve"> with people accessing mental health services increasing by 7% in the two years to 2016.</w:t>
      </w:r>
      <w:r w:rsidRPr="00B231EF">
        <w:rPr>
          <w:rStyle w:val="FootnoteReference"/>
          <w:rFonts w:asciiTheme="minorHAnsi" w:hAnsiTheme="minorHAnsi" w:cstheme="minorHAnsi"/>
          <w:color w:val="000000" w:themeColor="text1"/>
        </w:rPr>
        <w:footnoteReference w:id="17"/>
      </w:r>
      <w:r w:rsidRPr="00B231EF">
        <w:rPr>
          <w:rFonts w:asciiTheme="minorHAnsi" w:hAnsiTheme="minorHAnsi" w:cstheme="minorHAnsi"/>
          <w:color w:val="000000" w:themeColor="text1"/>
        </w:rPr>
        <w:t xml:space="preserve">  </w:t>
      </w:r>
      <w:r w:rsidRPr="00B231EF">
        <w:rPr>
          <w:rFonts w:asciiTheme="minorHAnsi" w:hAnsiTheme="minorHAnsi" w:cstheme="minorHAnsi"/>
        </w:rPr>
        <w:t>This significant increase in demand sees 20% of the population having a diagnosable mental health illness in the 2017 year.</w:t>
      </w:r>
      <w:r w:rsidRPr="00B231EF">
        <w:rPr>
          <w:rStyle w:val="FootnoteReference"/>
          <w:rFonts w:asciiTheme="minorHAnsi" w:hAnsiTheme="minorHAnsi" w:cstheme="minorHAnsi"/>
        </w:rPr>
        <w:footnoteReference w:id="18"/>
      </w:r>
      <w:r w:rsidR="009808AB" w:rsidRPr="00B231EF">
        <w:rPr>
          <w:rFonts w:asciiTheme="minorHAnsi" w:hAnsiTheme="minorHAnsi" w:cstheme="minorHAnsi"/>
          <w:color w:val="000000"/>
        </w:rPr>
        <w:t xml:space="preserve"> </w:t>
      </w:r>
      <w:r w:rsidRPr="00B231EF">
        <w:rPr>
          <w:rFonts w:asciiTheme="minorHAnsi" w:hAnsiTheme="minorHAnsi" w:cstheme="minorHAnsi"/>
          <w:color w:val="000000" w:themeColor="text1"/>
        </w:rPr>
        <w:t xml:space="preserve">In a systematic documentation of mental health service problems, </w:t>
      </w:r>
      <w:r w:rsidRPr="00B231EF">
        <w:rPr>
          <w:rFonts w:asciiTheme="minorHAnsi" w:hAnsiTheme="minorHAnsi" w:cstheme="minorHAnsi"/>
          <w:lang w:val="mi-NZ"/>
        </w:rPr>
        <w:t xml:space="preserve">the </w:t>
      </w:r>
      <w:r w:rsidR="009808AB" w:rsidRPr="00B231EF">
        <w:rPr>
          <w:rFonts w:asciiTheme="minorHAnsi" w:hAnsiTheme="minorHAnsi" w:cstheme="minorHAnsi"/>
          <w:lang w:val="mi-NZ"/>
        </w:rPr>
        <w:t xml:space="preserve">2016 </w:t>
      </w:r>
      <w:r w:rsidRPr="00B231EF">
        <w:rPr>
          <w:rFonts w:asciiTheme="minorHAnsi" w:hAnsiTheme="minorHAnsi" w:cstheme="minorHAnsi"/>
          <w:lang w:val="mi-NZ"/>
        </w:rPr>
        <w:t xml:space="preserve">ActionStation </w:t>
      </w:r>
      <w:r w:rsidRPr="00B231EF">
        <w:rPr>
          <w:rFonts w:asciiTheme="minorHAnsi" w:hAnsiTheme="minorHAnsi" w:cstheme="minorHAnsi"/>
          <w:i/>
          <w:lang w:val="mi-NZ"/>
        </w:rPr>
        <w:t>People’s Mental Health Report,</w:t>
      </w:r>
      <w:r w:rsidRPr="00B231EF">
        <w:rPr>
          <w:rStyle w:val="FootnoteReference"/>
          <w:rFonts w:asciiTheme="minorHAnsi" w:hAnsiTheme="minorHAnsi" w:cstheme="minorHAnsi"/>
          <w:i/>
          <w:lang w:val="mi-NZ"/>
        </w:rPr>
        <w:t xml:space="preserve"> </w:t>
      </w:r>
      <w:r w:rsidRPr="00B231EF">
        <w:rPr>
          <w:rStyle w:val="FootnoteReference"/>
          <w:rFonts w:asciiTheme="minorHAnsi" w:hAnsiTheme="minorHAnsi" w:cstheme="minorHAnsi"/>
          <w:i/>
          <w:lang w:val="mi-NZ"/>
        </w:rPr>
        <w:footnoteReference w:id="19"/>
      </w:r>
      <w:r w:rsidRPr="00B231EF">
        <w:rPr>
          <w:rFonts w:asciiTheme="minorHAnsi" w:hAnsiTheme="minorHAnsi" w:cstheme="minorHAnsi"/>
          <w:i/>
          <w:lang w:val="mi-NZ"/>
        </w:rPr>
        <w:t xml:space="preserve"> </w:t>
      </w:r>
      <w:r w:rsidRPr="00B231EF">
        <w:rPr>
          <w:rFonts w:asciiTheme="minorHAnsi" w:hAnsiTheme="minorHAnsi" w:cstheme="minorHAnsi"/>
          <w:lang w:val="mi-NZ"/>
        </w:rPr>
        <w:t xml:space="preserve">noted that mental health and wellbeing in New Zealand is undermined by: </w:t>
      </w:r>
    </w:p>
    <w:p w14:paraId="7308CCCF" w14:textId="77777777" w:rsidR="009D0D31" w:rsidRPr="00B231EF" w:rsidRDefault="009D0D31" w:rsidP="00B231EF">
      <w:pPr>
        <w:spacing w:line="276" w:lineRule="auto"/>
        <w:rPr>
          <w:rFonts w:asciiTheme="minorHAnsi" w:hAnsiTheme="minorHAnsi" w:cstheme="minorHAnsi"/>
          <w:color w:val="000000"/>
        </w:rPr>
      </w:pPr>
    </w:p>
    <w:p w14:paraId="0236B0EF" w14:textId="0B9FF455" w:rsidR="006B1026" w:rsidRPr="00B231EF" w:rsidRDefault="006B1026" w:rsidP="00B231EF">
      <w:pPr>
        <w:pStyle w:val="ListParagraph"/>
        <w:numPr>
          <w:ilvl w:val="0"/>
          <w:numId w:val="3"/>
        </w:numPr>
        <w:spacing w:after="0"/>
        <w:rPr>
          <w:rFonts w:cstheme="minorHAnsi"/>
          <w:sz w:val="24"/>
          <w:szCs w:val="24"/>
          <w:lang w:val="mi-NZ"/>
        </w:rPr>
      </w:pPr>
      <w:r w:rsidRPr="00B231EF">
        <w:rPr>
          <w:rFonts w:cstheme="minorHAnsi"/>
          <w:sz w:val="24"/>
          <w:szCs w:val="24"/>
          <w:lang w:val="mi-NZ"/>
        </w:rPr>
        <w:t xml:space="preserve">poverty </w:t>
      </w:r>
    </w:p>
    <w:p w14:paraId="1DDCCC61" w14:textId="77777777" w:rsidR="006B1026" w:rsidRPr="00B231EF" w:rsidRDefault="006B1026" w:rsidP="00B231EF">
      <w:pPr>
        <w:pStyle w:val="ListParagraph"/>
        <w:numPr>
          <w:ilvl w:val="0"/>
          <w:numId w:val="3"/>
        </w:numPr>
        <w:spacing w:after="0"/>
        <w:rPr>
          <w:rFonts w:cstheme="minorHAnsi"/>
          <w:sz w:val="24"/>
          <w:szCs w:val="24"/>
          <w:lang w:val="mi-NZ"/>
        </w:rPr>
      </w:pPr>
      <w:r w:rsidRPr="00B231EF">
        <w:rPr>
          <w:rFonts w:cstheme="minorHAnsi"/>
          <w:sz w:val="24"/>
          <w:szCs w:val="24"/>
          <w:lang w:val="mi-NZ"/>
        </w:rPr>
        <w:t xml:space="preserve">discrimination, </w:t>
      </w:r>
    </w:p>
    <w:p w14:paraId="2B4573A4" w14:textId="126D1C26" w:rsidR="006B1026" w:rsidRPr="00B231EF" w:rsidRDefault="006B1026" w:rsidP="00B231EF">
      <w:pPr>
        <w:pStyle w:val="ListParagraph"/>
        <w:numPr>
          <w:ilvl w:val="0"/>
          <w:numId w:val="3"/>
        </w:numPr>
        <w:spacing w:after="0"/>
        <w:rPr>
          <w:rFonts w:cstheme="minorHAnsi"/>
          <w:sz w:val="24"/>
          <w:szCs w:val="24"/>
          <w:lang w:val="mi-NZ"/>
        </w:rPr>
      </w:pPr>
      <w:r w:rsidRPr="00B231EF">
        <w:rPr>
          <w:rFonts w:cstheme="minorHAnsi"/>
          <w:sz w:val="24"/>
          <w:szCs w:val="24"/>
          <w:lang w:val="mi-NZ"/>
        </w:rPr>
        <w:t xml:space="preserve">the effects of colonisation </w:t>
      </w:r>
    </w:p>
    <w:p w14:paraId="265D6339" w14:textId="77777777" w:rsidR="009808AB" w:rsidRPr="00B231EF" w:rsidRDefault="006B1026" w:rsidP="00B231EF">
      <w:pPr>
        <w:pStyle w:val="ListParagraph"/>
        <w:numPr>
          <w:ilvl w:val="0"/>
          <w:numId w:val="3"/>
        </w:numPr>
        <w:spacing w:after="0"/>
        <w:rPr>
          <w:rFonts w:cstheme="minorHAnsi"/>
          <w:sz w:val="24"/>
          <w:szCs w:val="24"/>
          <w:lang w:val="mi-NZ"/>
        </w:rPr>
      </w:pPr>
      <w:r w:rsidRPr="00B231EF">
        <w:rPr>
          <w:rFonts w:cstheme="minorHAnsi"/>
          <w:sz w:val="24"/>
          <w:szCs w:val="24"/>
          <w:lang w:val="mi-NZ"/>
        </w:rPr>
        <w:t xml:space="preserve">high levels of domestic and sexual violence </w:t>
      </w:r>
    </w:p>
    <w:p w14:paraId="33A60933" w14:textId="77777777" w:rsidR="009D0D31" w:rsidRDefault="009D0D31" w:rsidP="003E2AC8">
      <w:pPr>
        <w:spacing w:line="276" w:lineRule="auto"/>
        <w:outlineLvl w:val="0"/>
        <w:rPr>
          <w:rFonts w:asciiTheme="minorHAnsi" w:hAnsiTheme="minorHAnsi" w:cstheme="minorHAnsi"/>
          <w:lang w:val="mi-NZ"/>
        </w:rPr>
      </w:pPr>
    </w:p>
    <w:p w14:paraId="0F85FEC0" w14:textId="67B44E48" w:rsidR="006B1026" w:rsidRPr="00B231EF" w:rsidRDefault="006B1026" w:rsidP="003E2AC8">
      <w:pPr>
        <w:spacing w:line="276" w:lineRule="auto"/>
        <w:outlineLvl w:val="0"/>
        <w:rPr>
          <w:rFonts w:asciiTheme="minorHAnsi" w:hAnsiTheme="minorHAnsi" w:cstheme="minorHAnsi"/>
          <w:lang w:val="mi-NZ"/>
        </w:rPr>
      </w:pPr>
      <w:r w:rsidRPr="00B231EF">
        <w:rPr>
          <w:rFonts w:asciiTheme="minorHAnsi" w:hAnsiTheme="minorHAnsi" w:cstheme="minorHAnsi"/>
          <w:lang w:val="mi-NZ"/>
        </w:rPr>
        <w:t xml:space="preserve">It noted </w:t>
      </w:r>
    </w:p>
    <w:p w14:paraId="3E52D734" w14:textId="22427BC1" w:rsidR="006B1026" w:rsidRPr="00B231EF" w:rsidRDefault="006B1026" w:rsidP="00B231EF">
      <w:pPr>
        <w:pStyle w:val="ListParagraph"/>
        <w:numPr>
          <w:ilvl w:val="0"/>
          <w:numId w:val="3"/>
        </w:numPr>
        <w:spacing w:after="0"/>
        <w:rPr>
          <w:rFonts w:cstheme="minorHAnsi"/>
          <w:sz w:val="24"/>
          <w:szCs w:val="24"/>
          <w:lang w:val="mi-NZ"/>
        </w:rPr>
      </w:pPr>
      <w:r w:rsidRPr="00B231EF">
        <w:rPr>
          <w:rFonts w:cstheme="minorHAnsi"/>
          <w:sz w:val="24"/>
          <w:szCs w:val="24"/>
          <w:lang w:val="mi-NZ"/>
        </w:rPr>
        <w:t xml:space="preserve">poor access to services </w:t>
      </w:r>
    </w:p>
    <w:p w14:paraId="7FD7FC5B" w14:textId="490EAC0B" w:rsidR="006B1026" w:rsidRPr="00B231EF" w:rsidRDefault="006B1026" w:rsidP="00B231EF">
      <w:pPr>
        <w:pStyle w:val="ListParagraph"/>
        <w:numPr>
          <w:ilvl w:val="0"/>
          <w:numId w:val="3"/>
        </w:numPr>
        <w:spacing w:after="0"/>
        <w:rPr>
          <w:rFonts w:cstheme="minorHAnsi"/>
          <w:sz w:val="24"/>
          <w:szCs w:val="24"/>
          <w:lang w:val="mi-NZ"/>
        </w:rPr>
      </w:pPr>
      <w:r w:rsidRPr="00B231EF">
        <w:rPr>
          <w:rFonts w:cstheme="minorHAnsi"/>
          <w:sz w:val="24"/>
          <w:szCs w:val="24"/>
          <w:lang w:val="mi-NZ"/>
        </w:rPr>
        <w:t xml:space="preserve">long wait times </w:t>
      </w:r>
    </w:p>
    <w:p w14:paraId="41BC4D55" w14:textId="19DDA8A9" w:rsidR="006B1026" w:rsidRPr="00B231EF" w:rsidRDefault="006B1026" w:rsidP="00B231EF">
      <w:pPr>
        <w:pStyle w:val="ListParagraph"/>
        <w:numPr>
          <w:ilvl w:val="0"/>
          <w:numId w:val="3"/>
        </w:numPr>
        <w:spacing w:after="0"/>
        <w:rPr>
          <w:rFonts w:cstheme="minorHAnsi"/>
          <w:sz w:val="24"/>
          <w:szCs w:val="24"/>
          <w:lang w:val="mi-NZ"/>
        </w:rPr>
      </w:pPr>
      <w:r w:rsidRPr="00B231EF">
        <w:rPr>
          <w:rFonts w:cstheme="minorHAnsi"/>
          <w:sz w:val="24"/>
          <w:szCs w:val="24"/>
          <w:lang w:val="mi-NZ"/>
        </w:rPr>
        <w:t xml:space="preserve">limited treatment options in primary and community </w:t>
      </w:r>
    </w:p>
    <w:p w14:paraId="5210928B" w14:textId="6B9F73E7" w:rsidR="006B1026" w:rsidRPr="00B231EF" w:rsidRDefault="006B1026" w:rsidP="00B231EF">
      <w:pPr>
        <w:pStyle w:val="ListParagraph"/>
        <w:numPr>
          <w:ilvl w:val="0"/>
          <w:numId w:val="3"/>
        </w:numPr>
        <w:spacing w:after="0"/>
        <w:rPr>
          <w:rFonts w:cstheme="minorHAnsi"/>
          <w:sz w:val="24"/>
          <w:szCs w:val="24"/>
          <w:lang w:val="mi-NZ"/>
        </w:rPr>
      </w:pPr>
      <w:r w:rsidRPr="00B231EF">
        <w:rPr>
          <w:rFonts w:cstheme="minorHAnsi"/>
          <w:sz w:val="24"/>
          <w:szCs w:val="24"/>
          <w:lang w:val="mi-NZ"/>
        </w:rPr>
        <w:t xml:space="preserve">high use of compulsory treatment and seclusion practices </w:t>
      </w:r>
    </w:p>
    <w:p w14:paraId="14458874" w14:textId="5DA34572" w:rsidR="006B1026" w:rsidRPr="00B231EF" w:rsidRDefault="006B1026" w:rsidP="00B231EF">
      <w:pPr>
        <w:pStyle w:val="ListParagraph"/>
        <w:numPr>
          <w:ilvl w:val="0"/>
          <w:numId w:val="3"/>
        </w:numPr>
        <w:spacing w:after="0"/>
        <w:rPr>
          <w:rFonts w:cstheme="minorHAnsi"/>
          <w:sz w:val="24"/>
          <w:szCs w:val="24"/>
          <w:lang w:val="mi-NZ"/>
        </w:rPr>
      </w:pPr>
      <w:r w:rsidRPr="00B231EF">
        <w:rPr>
          <w:rFonts w:cstheme="minorHAnsi"/>
          <w:sz w:val="24"/>
          <w:szCs w:val="24"/>
          <w:lang w:val="mi-NZ"/>
        </w:rPr>
        <w:t>ineffective responses to crisis situations</w:t>
      </w:r>
    </w:p>
    <w:p w14:paraId="27B95F56" w14:textId="5BAC1B13" w:rsidR="006B1026" w:rsidRPr="00B231EF" w:rsidRDefault="006B1026" w:rsidP="00B231EF">
      <w:pPr>
        <w:pStyle w:val="ListParagraph"/>
        <w:numPr>
          <w:ilvl w:val="0"/>
          <w:numId w:val="3"/>
        </w:numPr>
        <w:spacing w:after="0"/>
        <w:rPr>
          <w:rFonts w:cstheme="minorHAnsi"/>
          <w:sz w:val="24"/>
          <w:szCs w:val="24"/>
          <w:lang w:val="mi-NZ"/>
        </w:rPr>
      </w:pPr>
      <w:r w:rsidRPr="00B231EF">
        <w:rPr>
          <w:rFonts w:cstheme="minorHAnsi"/>
          <w:sz w:val="24"/>
          <w:szCs w:val="24"/>
          <w:lang w:val="mi-NZ"/>
        </w:rPr>
        <w:t xml:space="preserve">underfunding of services in the face of rising demand </w:t>
      </w:r>
    </w:p>
    <w:p w14:paraId="79669F72" w14:textId="5A763519" w:rsidR="009808AB" w:rsidRPr="00B231EF" w:rsidRDefault="006B1026" w:rsidP="00B231EF">
      <w:pPr>
        <w:pStyle w:val="ListParagraph"/>
        <w:numPr>
          <w:ilvl w:val="0"/>
          <w:numId w:val="3"/>
        </w:numPr>
        <w:spacing w:after="0"/>
        <w:rPr>
          <w:rFonts w:cstheme="minorHAnsi"/>
          <w:sz w:val="24"/>
          <w:szCs w:val="24"/>
          <w:lang w:val="mi-NZ"/>
        </w:rPr>
      </w:pPr>
      <w:r w:rsidRPr="00B231EF">
        <w:rPr>
          <w:rFonts w:cstheme="minorHAnsi"/>
          <w:sz w:val="24"/>
          <w:szCs w:val="24"/>
          <w:lang w:val="mi-NZ"/>
        </w:rPr>
        <w:t xml:space="preserve">mental health workers who felt overworked, under-resourced </w:t>
      </w:r>
      <w:r w:rsidR="009808AB" w:rsidRPr="00B231EF">
        <w:rPr>
          <w:rFonts w:cstheme="minorHAnsi"/>
          <w:sz w:val="24"/>
          <w:szCs w:val="24"/>
          <w:lang w:val="mi-NZ"/>
        </w:rPr>
        <w:t>and stressed</w:t>
      </w:r>
    </w:p>
    <w:p w14:paraId="3271C5A4" w14:textId="77777777" w:rsidR="00B231EF" w:rsidRDefault="00B231EF" w:rsidP="00B231EF">
      <w:pPr>
        <w:spacing w:line="276" w:lineRule="auto"/>
        <w:rPr>
          <w:rFonts w:asciiTheme="minorHAnsi" w:hAnsiTheme="minorHAnsi" w:cstheme="minorHAnsi"/>
          <w:lang w:val="mi-NZ"/>
        </w:rPr>
      </w:pPr>
    </w:p>
    <w:p w14:paraId="48BE2B76" w14:textId="04A62261" w:rsidR="006B1026" w:rsidRPr="00B231EF" w:rsidRDefault="009808AB" w:rsidP="00B231EF">
      <w:pPr>
        <w:spacing w:line="276" w:lineRule="auto"/>
        <w:rPr>
          <w:rFonts w:asciiTheme="minorHAnsi" w:eastAsiaTheme="minorHAnsi" w:hAnsiTheme="minorHAnsi" w:cstheme="minorHAnsi"/>
          <w:lang w:val="mi-NZ"/>
        </w:rPr>
      </w:pPr>
      <w:r w:rsidRPr="00B231EF">
        <w:rPr>
          <w:rFonts w:asciiTheme="minorHAnsi" w:hAnsiTheme="minorHAnsi" w:cstheme="minorHAnsi"/>
          <w:lang w:val="mi-NZ"/>
        </w:rPr>
        <w:t>L</w:t>
      </w:r>
      <w:r w:rsidR="006B1026" w:rsidRPr="00B231EF">
        <w:rPr>
          <w:rFonts w:asciiTheme="minorHAnsi" w:hAnsiTheme="minorHAnsi" w:cstheme="minorHAnsi"/>
          <w:lang w:val="mi-NZ"/>
        </w:rPr>
        <w:t xml:space="preserve">ater </w:t>
      </w:r>
      <w:r w:rsidRPr="00B231EF">
        <w:rPr>
          <w:rFonts w:asciiTheme="minorHAnsi" w:hAnsiTheme="minorHAnsi" w:cstheme="minorHAnsi"/>
          <w:lang w:val="mi-NZ"/>
        </w:rPr>
        <w:t xml:space="preserve">that year </w:t>
      </w:r>
      <w:r w:rsidR="006B1026" w:rsidRPr="00B231EF">
        <w:rPr>
          <w:rFonts w:asciiTheme="minorHAnsi" w:hAnsiTheme="minorHAnsi" w:cstheme="minorHAnsi"/>
          <w:lang w:val="mi-NZ"/>
        </w:rPr>
        <w:t xml:space="preserve">the Office of the Auditor-General’s </w:t>
      </w:r>
      <w:r w:rsidR="006B1026" w:rsidRPr="00B231EF">
        <w:rPr>
          <w:rFonts w:asciiTheme="minorHAnsi" w:hAnsiTheme="minorHAnsi" w:cstheme="minorHAnsi"/>
          <w:i/>
          <w:lang w:val="mi-NZ"/>
        </w:rPr>
        <w:t>Mental Health: Effectiveness of the planning to discharge people from hospital</w:t>
      </w:r>
      <w:r w:rsidR="006B1026" w:rsidRPr="00B231EF">
        <w:rPr>
          <w:rFonts w:asciiTheme="minorHAnsi" w:hAnsiTheme="minorHAnsi" w:cstheme="minorHAnsi"/>
        </w:rPr>
        <w:t xml:space="preserve"> Report</w:t>
      </w:r>
      <w:r w:rsidR="006B1026" w:rsidRPr="00B231EF">
        <w:rPr>
          <w:rStyle w:val="FootnoteReference"/>
          <w:rFonts w:asciiTheme="minorHAnsi" w:hAnsiTheme="minorHAnsi" w:cstheme="minorHAnsi"/>
          <w:lang w:val="mi-NZ"/>
        </w:rPr>
        <w:footnoteReference w:id="20"/>
      </w:r>
      <w:r w:rsidR="006B1026" w:rsidRPr="00B231EF">
        <w:rPr>
          <w:rFonts w:asciiTheme="minorHAnsi" w:hAnsiTheme="minorHAnsi" w:cstheme="minorHAnsi"/>
        </w:rPr>
        <w:t xml:space="preserve"> which, </w:t>
      </w:r>
      <w:r w:rsidR="006B1026" w:rsidRPr="00B231EF">
        <w:rPr>
          <w:rFonts w:asciiTheme="minorHAnsi" w:hAnsiTheme="minorHAnsi" w:cstheme="minorHAnsi"/>
          <w:color w:val="000000" w:themeColor="text1"/>
          <w:shd w:val="clear" w:color="auto" w:fill="FFFFFF"/>
        </w:rPr>
        <w:t>noted that t</w:t>
      </w:r>
      <w:r w:rsidRPr="00B231EF">
        <w:rPr>
          <w:rFonts w:asciiTheme="minorHAnsi" w:hAnsiTheme="minorHAnsi" w:cstheme="minorHAnsi"/>
          <w:color w:val="000000" w:themeColor="text1"/>
          <w:shd w:val="clear" w:color="auto" w:fill="FFFFFF"/>
        </w:rPr>
        <w:t>he problems outlined by ActionStation</w:t>
      </w:r>
      <w:r w:rsidR="006B1026" w:rsidRPr="00B231EF">
        <w:rPr>
          <w:rFonts w:asciiTheme="minorHAnsi" w:hAnsiTheme="minorHAnsi" w:cstheme="minorHAnsi"/>
          <w:color w:val="000000" w:themeColor="text1"/>
          <w:shd w:val="clear" w:color="auto" w:fill="FFFFFF"/>
        </w:rPr>
        <w:t xml:space="preserve"> </w:t>
      </w:r>
      <w:r w:rsidRPr="00B231EF">
        <w:rPr>
          <w:rFonts w:asciiTheme="minorHAnsi" w:hAnsiTheme="minorHAnsi" w:cstheme="minorHAnsi"/>
          <w:color w:val="000000" w:themeColor="text1"/>
          <w:shd w:val="clear" w:color="auto" w:fill="FFFFFF"/>
        </w:rPr>
        <w:t>had</w:t>
      </w:r>
      <w:r w:rsidR="006B1026" w:rsidRPr="00B231EF">
        <w:rPr>
          <w:rFonts w:asciiTheme="minorHAnsi" w:hAnsiTheme="minorHAnsi" w:cstheme="minorHAnsi"/>
          <w:color w:val="000000" w:themeColor="text1"/>
          <w:shd w:val="clear" w:color="auto" w:fill="FFFFFF"/>
        </w:rPr>
        <w:t xml:space="preserve"> led to an inappropriate discharging of patients </w:t>
      </w:r>
      <w:r w:rsidR="006B1026" w:rsidRPr="00B231EF">
        <w:rPr>
          <w:rFonts w:asciiTheme="minorHAnsi" w:hAnsiTheme="minorHAnsi" w:cstheme="minorHAnsi"/>
          <w:color w:val="333333"/>
          <w:shd w:val="clear" w:color="auto" w:fill="FFFFFF"/>
        </w:rPr>
        <w:t xml:space="preserve">ignoring </w:t>
      </w:r>
      <w:r w:rsidR="006B1026" w:rsidRPr="00B231EF">
        <w:rPr>
          <w:rFonts w:asciiTheme="minorHAnsi" w:hAnsiTheme="minorHAnsi" w:cstheme="minorHAnsi"/>
          <w:i/>
          <w:color w:val="333333"/>
          <w:shd w:val="clear" w:color="auto" w:fill="FFFFFF"/>
        </w:rPr>
        <w:t>“broader needs, such as getting help with housing, finances, or support from their employer or family”</w:t>
      </w:r>
      <w:r w:rsidR="006B1026" w:rsidRPr="00B231EF">
        <w:rPr>
          <w:rFonts w:asciiTheme="minorHAnsi" w:hAnsiTheme="minorHAnsi" w:cstheme="minorHAnsi"/>
          <w:color w:val="333333"/>
          <w:shd w:val="clear" w:color="auto" w:fill="FFFFFF"/>
        </w:rPr>
        <w:t xml:space="preserve">. </w:t>
      </w:r>
    </w:p>
    <w:p w14:paraId="51B7F6EC" w14:textId="77777777" w:rsidR="00B231EF" w:rsidRDefault="00B231EF" w:rsidP="00B231EF">
      <w:pPr>
        <w:spacing w:line="276" w:lineRule="auto"/>
        <w:rPr>
          <w:rFonts w:asciiTheme="minorHAnsi" w:hAnsiTheme="minorHAnsi" w:cstheme="minorHAnsi"/>
        </w:rPr>
      </w:pPr>
    </w:p>
    <w:p w14:paraId="59EBE686" w14:textId="77777777" w:rsidR="009808AB" w:rsidRPr="00B231EF" w:rsidRDefault="009808AB" w:rsidP="00B231EF">
      <w:pPr>
        <w:spacing w:line="276" w:lineRule="auto"/>
        <w:rPr>
          <w:rFonts w:asciiTheme="minorHAnsi" w:hAnsiTheme="minorHAnsi" w:cstheme="minorHAnsi"/>
        </w:rPr>
      </w:pPr>
      <w:r w:rsidRPr="00B231EF">
        <w:rPr>
          <w:rFonts w:asciiTheme="minorHAnsi" w:hAnsiTheme="minorHAnsi" w:cstheme="minorHAnsi"/>
        </w:rPr>
        <w:t>In addition, we see that there is a capability problem in mental health services and the lack of culturally appropriate services for Māori and appropriate training of mental health professionals has been noted.</w:t>
      </w:r>
      <w:r w:rsidRPr="00B231EF">
        <w:rPr>
          <w:rStyle w:val="FootnoteReference"/>
          <w:rFonts w:asciiTheme="minorHAnsi" w:hAnsiTheme="minorHAnsi" w:cstheme="minorHAnsi"/>
        </w:rPr>
        <w:footnoteReference w:id="21"/>
      </w:r>
      <w:r w:rsidRPr="00B231EF">
        <w:rPr>
          <w:rFonts w:asciiTheme="minorHAnsi" w:hAnsiTheme="minorHAnsi" w:cstheme="minorHAnsi"/>
        </w:rPr>
        <w:t xml:space="preserve"> Although there has been a long and active promotion of a Māori cultural base in the provision of mental health care by psychiatrist and academic Professor Sir Mason Durie,</w:t>
      </w:r>
      <w:r w:rsidRPr="00B231EF">
        <w:rPr>
          <w:rStyle w:val="FootnoteReference"/>
          <w:rFonts w:asciiTheme="minorHAnsi" w:hAnsiTheme="minorHAnsi" w:cstheme="minorHAnsi"/>
        </w:rPr>
        <w:footnoteReference w:id="22"/>
      </w:r>
      <w:r w:rsidRPr="00B231EF">
        <w:rPr>
          <w:rFonts w:asciiTheme="minorHAnsi" w:hAnsiTheme="minorHAnsi" w:cstheme="minorHAnsi"/>
          <w:vertAlign w:val="superscript"/>
        </w:rPr>
        <w:t>,</w:t>
      </w:r>
      <w:r w:rsidRPr="00B231EF">
        <w:rPr>
          <w:rStyle w:val="FootnoteReference"/>
          <w:rFonts w:asciiTheme="minorHAnsi" w:hAnsiTheme="minorHAnsi" w:cstheme="minorHAnsi"/>
        </w:rPr>
        <w:footnoteReference w:id="23"/>
      </w:r>
      <w:r w:rsidRPr="00B231EF">
        <w:rPr>
          <w:rFonts w:asciiTheme="minorHAnsi" w:hAnsiTheme="minorHAnsi" w:cstheme="minorHAnsi"/>
          <w:vertAlign w:val="superscript"/>
        </w:rPr>
        <w:t>,</w:t>
      </w:r>
      <w:r w:rsidRPr="00B231EF">
        <w:rPr>
          <w:rStyle w:val="FootnoteReference"/>
          <w:rFonts w:asciiTheme="minorHAnsi" w:hAnsiTheme="minorHAnsi" w:cstheme="minorHAnsi"/>
        </w:rPr>
        <w:footnoteReference w:id="24"/>
      </w:r>
      <w:r w:rsidRPr="00B231EF">
        <w:rPr>
          <w:rFonts w:asciiTheme="minorHAnsi" w:hAnsiTheme="minorHAnsi" w:cstheme="minorHAnsi"/>
        </w:rPr>
        <w:t xml:space="preserve"> it seems that, apart from one paradigm-challenging example of a traditional healer-psychiatrist collaboration</w:t>
      </w:r>
      <w:r w:rsidRPr="00B231EF">
        <w:rPr>
          <w:rStyle w:val="FootnoteReference"/>
          <w:rFonts w:asciiTheme="minorHAnsi" w:hAnsiTheme="minorHAnsi" w:cstheme="minorHAnsi"/>
        </w:rPr>
        <w:footnoteReference w:id="25"/>
      </w:r>
      <w:r w:rsidRPr="00B231EF">
        <w:rPr>
          <w:rFonts w:asciiTheme="minorHAnsi" w:hAnsiTheme="minorHAnsi" w:cstheme="minorHAnsi"/>
        </w:rPr>
        <w:t xml:space="preserve"> and a few innovative local Māori primary mental health care initiatives,</w:t>
      </w:r>
      <w:r w:rsidRPr="00B231EF">
        <w:rPr>
          <w:rStyle w:val="FootnoteReference"/>
          <w:rFonts w:asciiTheme="minorHAnsi" w:hAnsiTheme="minorHAnsi" w:cstheme="minorHAnsi"/>
        </w:rPr>
        <w:footnoteReference w:id="26"/>
      </w:r>
      <w:r w:rsidRPr="00B231EF">
        <w:rPr>
          <w:rFonts w:asciiTheme="minorHAnsi" w:hAnsiTheme="minorHAnsi" w:cstheme="minorHAnsi"/>
        </w:rPr>
        <w:t xml:space="preserve"> there is little evidence of systematic change. </w:t>
      </w:r>
    </w:p>
    <w:p w14:paraId="71483F58" w14:textId="77777777" w:rsidR="00A209D0" w:rsidRDefault="00A209D0" w:rsidP="00B231EF">
      <w:pPr>
        <w:spacing w:line="276" w:lineRule="auto"/>
        <w:rPr>
          <w:rFonts w:asciiTheme="minorHAnsi" w:hAnsiTheme="minorHAnsi" w:cstheme="minorHAnsi"/>
        </w:rPr>
      </w:pPr>
    </w:p>
    <w:p w14:paraId="24F72F07" w14:textId="6F6A91B6" w:rsidR="009808AB" w:rsidRPr="00B231EF" w:rsidRDefault="009808AB" w:rsidP="00B231EF">
      <w:pPr>
        <w:spacing w:line="276" w:lineRule="auto"/>
        <w:rPr>
          <w:rFonts w:asciiTheme="minorHAnsi" w:hAnsiTheme="minorHAnsi" w:cstheme="minorHAnsi"/>
        </w:rPr>
      </w:pPr>
      <w:r w:rsidRPr="00B231EF">
        <w:rPr>
          <w:rFonts w:asciiTheme="minorHAnsi" w:hAnsiTheme="minorHAnsi" w:cstheme="minorHAnsi"/>
        </w:rPr>
        <w:t>The NZ mental health system is simply not equipped to deal with the increasing number of Māori who present with various forms of distress that is exacerbated by deprivation</w:t>
      </w:r>
      <w:r w:rsidR="00072E9B">
        <w:rPr>
          <w:rFonts w:asciiTheme="minorHAnsi" w:hAnsiTheme="minorHAnsi" w:cstheme="minorHAnsi"/>
        </w:rPr>
        <w:t>, racism, cultural marginalisation</w:t>
      </w:r>
      <w:r w:rsidR="00A1308C" w:rsidRPr="00B231EF">
        <w:rPr>
          <w:rFonts w:asciiTheme="minorHAnsi" w:hAnsiTheme="minorHAnsi" w:cstheme="minorHAnsi"/>
        </w:rPr>
        <w:t xml:space="preserve"> and</w:t>
      </w:r>
      <w:r w:rsidRPr="00B231EF">
        <w:rPr>
          <w:rFonts w:asciiTheme="minorHAnsi" w:hAnsiTheme="minorHAnsi" w:cstheme="minorHAnsi"/>
        </w:rPr>
        <w:t xml:space="preserve"> social isolation</w:t>
      </w:r>
      <w:r w:rsidR="00A209D0">
        <w:rPr>
          <w:rFonts w:asciiTheme="minorHAnsi" w:hAnsiTheme="minorHAnsi" w:cstheme="minorHAnsi"/>
        </w:rPr>
        <w:t xml:space="preserve">. Neither is the </w:t>
      </w:r>
      <w:r w:rsidRPr="00B231EF">
        <w:rPr>
          <w:rFonts w:asciiTheme="minorHAnsi" w:hAnsiTheme="minorHAnsi" w:cstheme="minorHAnsi"/>
        </w:rPr>
        <w:t>alienation</w:t>
      </w:r>
      <w:r w:rsidR="00A209D0">
        <w:rPr>
          <w:rFonts w:asciiTheme="minorHAnsi" w:hAnsiTheme="minorHAnsi" w:cstheme="minorHAnsi"/>
        </w:rPr>
        <w:t xml:space="preserve"> of Māori</w:t>
      </w:r>
      <w:r w:rsidRPr="00B231EF">
        <w:rPr>
          <w:rFonts w:asciiTheme="minorHAnsi" w:hAnsiTheme="minorHAnsi" w:cstheme="minorHAnsi"/>
        </w:rPr>
        <w:t xml:space="preserve"> from </w:t>
      </w:r>
      <w:r w:rsidR="00A209D0">
        <w:rPr>
          <w:rFonts w:asciiTheme="minorHAnsi" w:hAnsiTheme="minorHAnsi" w:cstheme="minorHAnsi"/>
        </w:rPr>
        <w:t xml:space="preserve">mental health services helpful, despite those service being mostly </w:t>
      </w:r>
      <w:r w:rsidRPr="00B231EF">
        <w:rPr>
          <w:rFonts w:asciiTheme="minorHAnsi" w:hAnsiTheme="minorHAnsi" w:cstheme="minorHAnsi"/>
        </w:rPr>
        <w:t>culturally incompeten</w:t>
      </w:r>
      <w:r w:rsidR="00B7084C" w:rsidRPr="00B231EF">
        <w:rPr>
          <w:rFonts w:asciiTheme="minorHAnsi" w:hAnsiTheme="minorHAnsi" w:cstheme="minorHAnsi"/>
        </w:rPr>
        <w:t>t</w:t>
      </w:r>
      <w:r w:rsidR="00A209D0">
        <w:rPr>
          <w:rFonts w:asciiTheme="minorHAnsi" w:hAnsiTheme="minorHAnsi" w:cstheme="minorHAnsi"/>
        </w:rPr>
        <w:t>.</w:t>
      </w:r>
      <w:r w:rsidR="000E7A77" w:rsidRPr="00B231EF">
        <w:rPr>
          <w:rFonts w:asciiTheme="minorHAnsi" w:hAnsiTheme="minorHAnsi" w:cstheme="minorHAnsi"/>
        </w:rPr>
        <w:t xml:space="preserve"> </w:t>
      </w:r>
      <w:r w:rsidR="00B7084C" w:rsidRPr="00B231EF">
        <w:rPr>
          <w:rFonts w:asciiTheme="minorHAnsi" w:hAnsiTheme="minorHAnsi" w:cstheme="minorHAnsi"/>
        </w:rPr>
        <w:t xml:space="preserve">Discrimination is known to </w:t>
      </w:r>
      <w:r w:rsidR="00072E9B">
        <w:rPr>
          <w:rFonts w:asciiTheme="minorHAnsi" w:hAnsiTheme="minorHAnsi" w:cstheme="minorHAnsi"/>
        </w:rPr>
        <w:t xml:space="preserve">be </w:t>
      </w:r>
      <w:r w:rsidR="00B7084C" w:rsidRPr="00B231EF">
        <w:rPr>
          <w:rFonts w:asciiTheme="minorHAnsi" w:hAnsiTheme="minorHAnsi" w:cstheme="minorHAnsi"/>
        </w:rPr>
        <w:t>bad for psychological well-being,</w:t>
      </w:r>
      <w:r w:rsidR="00B7084C" w:rsidRPr="00B231EF">
        <w:rPr>
          <w:rStyle w:val="FootnoteReference"/>
          <w:rFonts w:asciiTheme="minorHAnsi" w:hAnsiTheme="minorHAnsi" w:cstheme="minorHAnsi"/>
        </w:rPr>
        <w:footnoteReference w:id="27"/>
      </w:r>
      <w:r w:rsidR="00B7084C" w:rsidRPr="00B231EF">
        <w:rPr>
          <w:rFonts w:asciiTheme="minorHAnsi" w:hAnsiTheme="minorHAnsi" w:cstheme="minorHAnsi"/>
        </w:rPr>
        <w:t xml:space="preserve"> and </w:t>
      </w:r>
      <w:r w:rsidR="000E7A77" w:rsidRPr="00B231EF">
        <w:rPr>
          <w:rFonts w:asciiTheme="minorHAnsi" w:hAnsiTheme="minorHAnsi" w:cstheme="minorHAnsi"/>
        </w:rPr>
        <w:t xml:space="preserve">New Zealand researchers have openly subscribed to the concept that Māori experience of ‘racism’ is responsible for </w:t>
      </w:r>
      <w:r w:rsidR="008D1055" w:rsidRPr="00B231EF">
        <w:rPr>
          <w:rFonts w:asciiTheme="minorHAnsi" w:hAnsiTheme="minorHAnsi" w:cstheme="minorHAnsi"/>
        </w:rPr>
        <w:t>a wide range of inequitable health outcomes</w:t>
      </w:r>
      <w:r w:rsidR="00A209D0">
        <w:rPr>
          <w:rFonts w:asciiTheme="minorHAnsi" w:hAnsiTheme="minorHAnsi" w:cstheme="minorHAnsi"/>
        </w:rPr>
        <w:t xml:space="preserve"> including mental health</w:t>
      </w:r>
      <w:r w:rsidR="00B7084C" w:rsidRPr="00B231EF">
        <w:rPr>
          <w:rFonts w:asciiTheme="minorHAnsi" w:hAnsiTheme="minorHAnsi" w:cstheme="minorHAnsi"/>
        </w:rPr>
        <w:t>.</w:t>
      </w:r>
      <w:r w:rsidR="008D1055" w:rsidRPr="00B231EF">
        <w:rPr>
          <w:rStyle w:val="FootnoteReference"/>
          <w:rFonts w:asciiTheme="minorHAnsi" w:hAnsiTheme="minorHAnsi" w:cstheme="minorHAnsi"/>
        </w:rPr>
        <w:footnoteReference w:id="28"/>
      </w:r>
      <w:r w:rsidR="00B7084C" w:rsidRPr="00B231EF">
        <w:rPr>
          <w:rFonts w:asciiTheme="minorHAnsi" w:hAnsiTheme="minorHAnsi" w:cstheme="minorHAnsi"/>
        </w:rPr>
        <w:t xml:space="preserve"> </w:t>
      </w:r>
      <w:r w:rsidR="00A209D0" w:rsidRPr="00B231EF">
        <w:rPr>
          <w:rStyle w:val="FootnoteReference"/>
          <w:rFonts w:asciiTheme="minorHAnsi" w:hAnsiTheme="minorHAnsi" w:cstheme="minorHAnsi"/>
        </w:rPr>
        <w:footnoteReference w:id="29"/>
      </w:r>
      <w:r w:rsidR="00A209D0" w:rsidRPr="00B231EF">
        <w:rPr>
          <w:rFonts w:asciiTheme="minorHAnsi" w:hAnsiTheme="minorHAnsi" w:cstheme="minorHAnsi"/>
          <w:vertAlign w:val="superscript"/>
        </w:rPr>
        <w:t>,</w:t>
      </w:r>
    </w:p>
    <w:p w14:paraId="55EF370F" w14:textId="77777777" w:rsidR="009D0D31" w:rsidRDefault="009D0D31" w:rsidP="003E2AC8">
      <w:pPr>
        <w:spacing w:line="276" w:lineRule="auto"/>
        <w:outlineLvl w:val="0"/>
        <w:rPr>
          <w:rFonts w:asciiTheme="minorHAnsi" w:hAnsiTheme="minorHAnsi" w:cstheme="minorHAnsi"/>
          <w:b/>
        </w:rPr>
      </w:pPr>
    </w:p>
    <w:p w14:paraId="100E1A1A" w14:textId="1599E70A" w:rsidR="008F4A49" w:rsidRPr="00B231EF" w:rsidRDefault="00B7084C" w:rsidP="003E2AC8">
      <w:pPr>
        <w:spacing w:line="276" w:lineRule="auto"/>
        <w:outlineLvl w:val="0"/>
        <w:rPr>
          <w:rFonts w:asciiTheme="minorHAnsi" w:hAnsiTheme="minorHAnsi" w:cstheme="minorHAnsi"/>
          <w:b/>
        </w:rPr>
      </w:pPr>
      <w:r w:rsidRPr="00B231EF">
        <w:rPr>
          <w:rFonts w:asciiTheme="minorHAnsi" w:hAnsiTheme="minorHAnsi" w:cstheme="minorHAnsi"/>
          <w:b/>
        </w:rPr>
        <w:t>What could be done better?</w:t>
      </w:r>
    </w:p>
    <w:p w14:paraId="440DF777" w14:textId="09608A6A" w:rsidR="00072E9B" w:rsidRDefault="00017B66" w:rsidP="00A209D0">
      <w:pPr>
        <w:pStyle w:val="CommentText"/>
        <w:spacing w:line="276" w:lineRule="auto"/>
      </w:pPr>
      <w:r w:rsidRPr="00B231EF">
        <w:rPr>
          <w:rFonts w:asciiTheme="minorHAnsi" w:hAnsiTheme="minorHAnsi" w:cstheme="minorHAnsi"/>
        </w:rPr>
        <w:t xml:space="preserve">We understand that </w:t>
      </w:r>
      <w:r w:rsidR="00072E9B">
        <w:rPr>
          <w:rFonts w:asciiTheme="minorHAnsi" w:hAnsiTheme="minorHAnsi" w:cstheme="minorHAnsi"/>
        </w:rPr>
        <w:t xml:space="preserve">health </w:t>
      </w:r>
      <w:r w:rsidRPr="00B231EF">
        <w:rPr>
          <w:rFonts w:asciiTheme="minorHAnsi" w:hAnsiTheme="minorHAnsi" w:cstheme="minorHAnsi"/>
        </w:rPr>
        <w:t xml:space="preserve">inequities arise through inequitable </w:t>
      </w:r>
      <w:r w:rsidR="00072E9B">
        <w:rPr>
          <w:rFonts w:asciiTheme="minorHAnsi" w:hAnsiTheme="minorHAnsi" w:cstheme="minorHAnsi"/>
        </w:rPr>
        <w:t xml:space="preserve">access to the </w:t>
      </w:r>
      <w:r w:rsidRPr="00B231EF">
        <w:rPr>
          <w:rFonts w:asciiTheme="minorHAnsi" w:hAnsiTheme="minorHAnsi" w:cstheme="minorHAnsi"/>
        </w:rPr>
        <w:t xml:space="preserve">determinants of health, unequal access to </w:t>
      </w:r>
      <w:r w:rsidR="00072E9B">
        <w:rPr>
          <w:rFonts w:asciiTheme="minorHAnsi" w:hAnsiTheme="minorHAnsi" w:cstheme="minorHAnsi"/>
        </w:rPr>
        <w:t xml:space="preserve">and through health </w:t>
      </w:r>
      <w:r w:rsidRPr="00B231EF">
        <w:rPr>
          <w:rFonts w:asciiTheme="minorHAnsi" w:hAnsiTheme="minorHAnsi" w:cstheme="minorHAnsi"/>
        </w:rPr>
        <w:t xml:space="preserve">care and the </w:t>
      </w:r>
      <w:r w:rsidR="00072E9B">
        <w:rPr>
          <w:rFonts w:asciiTheme="minorHAnsi" w:hAnsiTheme="minorHAnsi" w:cstheme="minorHAnsi"/>
        </w:rPr>
        <w:t xml:space="preserve">differential </w:t>
      </w:r>
      <w:r w:rsidRPr="00B231EF">
        <w:rPr>
          <w:rFonts w:asciiTheme="minorHAnsi" w:hAnsiTheme="minorHAnsi" w:cstheme="minorHAnsi"/>
        </w:rPr>
        <w:t>quality of the care received.</w:t>
      </w:r>
      <w:r w:rsidRPr="00B231EF">
        <w:rPr>
          <w:rStyle w:val="FootnoteReference"/>
          <w:rFonts w:asciiTheme="minorHAnsi" w:hAnsiTheme="minorHAnsi" w:cstheme="minorHAnsi"/>
        </w:rPr>
        <w:footnoteReference w:id="30"/>
      </w:r>
      <w:r w:rsidRPr="00B231EF">
        <w:rPr>
          <w:rFonts w:asciiTheme="minorHAnsi" w:hAnsiTheme="minorHAnsi" w:cstheme="minorHAnsi"/>
        </w:rPr>
        <w:t xml:space="preserve"> </w:t>
      </w:r>
      <w:r w:rsidR="00072E9B">
        <w:rPr>
          <w:rFonts w:asciiTheme="minorHAnsi" w:hAnsiTheme="minorHAnsi" w:cstheme="minorHAnsi"/>
        </w:rPr>
        <w:t>At the same time however, w</w:t>
      </w:r>
      <w:r w:rsidR="00072E9B" w:rsidRPr="00072E9B">
        <w:rPr>
          <w:rFonts w:asciiTheme="minorHAnsi" w:hAnsiTheme="minorHAnsi" w:cstheme="minorHAnsi"/>
        </w:rPr>
        <w:t xml:space="preserve">e note that this </w:t>
      </w:r>
      <w:r w:rsidR="00072E9B">
        <w:rPr>
          <w:rFonts w:asciiTheme="minorHAnsi" w:hAnsiTheme="minorHAnsi" w:cstheme="minorHAnsi"/>
        </w:rPr>
        <w:t>mal</w:t>
      </w:r>
      <w:r w:rsidR="00072E9B" w:rsidRPr="00072E9B">
        <w:rPr>
          <w:rFonts w:asciiTheme="minorHAnsi" w:hAnsiTheme="minorHAnsi" w:cstheme="minorHAnsi"/>
        </w:rPr>
        <w:t>distribution is a</w:t>
      </w:r>
      <w:r w:rsidR="00072E9B">
        <w:rPr>
          <w:rFonts w:asciiTheme="minorHAnsi" w:hAnsiTheme="minorHAnsi" w:cstheme="minorHAnsi"/>
        </w:rPr>
        <w:t>n</w:t>
      </w:r>
      <w:r w:rsidR="00072E9B" w:rsidRPr="00072E9B">
        <w:rPr>
          <w:rFonts w:asciiTheme="minorHAnsi" w:hAnsiTheme="minorHAnsi" w:cstheme="minorHAnsi"/>
        </w:rPr>
        <w:t xml:space="preserve"> expression of </w:t>
      </w:r>
      <w:r w:rsidR="00072E9B" w:rsidRPr="00902A63">
        <w:rPr>
          <w:rFonts w:asciiTheme="minorHAnsi" w:hAnsiTheme="minorHAnsi" w:cstheme="minorHAnsi"/>
        </w:rPr>
        <w:t xml:space="preserve">racism and colonisation, where the social determinants of health continue to be differentially distributed in NZ by ethnicity and especially, by indigeneity. </w:t>
      </w:r>
      <w:r w:rsidR="00902A63" w:rsidRPr="00902A63">
        <w:rPr>
          <w:rFonts w:asciiTheme="minorHAnsi" w:hAnsiTheme="minorHAnsi" w:cstheme="minorHAnsi"/>
        </w:rPr>
        <w:t>Finally, that the history of institutional racism has predicated against kaupapa Māori services ever attaining any form of sustainability.</w:t>
      </w:r>
      <w:r w:rsidR="00902A63">
        <w:t xml:space="preserve"> </w:t>
      </w:r>
    </w:p>
    <w:p w14:paraId="2EF012E1" w14:textId="77777777" w:rsidR="00072E9B" w:rsidRDefault="00072E9B" w:rsidP="00B231EF">
      <w:pPr>
        <w:spacing w:line="276" w:lineRule="auto"/>
        <w:rPr>
          <w:rFonts w:asciiTheme="minorHAnsi" w:hAnsiTheme="minorHAnsi" w:cstheme="minorHAnsi"/>
        </w:rPr>
      </w:pPr>
    </w:p>
    <w:p w14:paraId="2647A4F7" w14:textId="57AAA819" w:rsidR="00017B66" w:rsidRDefault="00072E9B" w:rsidP="00B231EF">
      <w:pPr>
        <w:spacing w:line="276" w:lineRule="auto"/>
        <w:rPr>
          <w:rFonts w:asciiTheme="minorHAnsi" w:hAnsiTheme="minorHAnsi" w:cstheme="minorHAnsi"/>
        </w:rPr>
      </w:pPr>
      <w:r>
        <w:rPr>
          <w:rFonts w:asciiTheme="minorHAnsi" w:hAnsiTheme="minorHAnsi" w:cstheme="minorHAnsi"/>
        </w:rPr>
        <w:t xml:space="preserve">In respect of the latter two we note: </w:t>
      </w:r>
    </w:p>
    <w:p w14:paraId="1988AD7A" w14:textId="77777777" w:rsidR="00B231EF" w:rsidRPr="00B231EF" w:rsidRDefault="00B231EF" w:rsidP="00B231EF">
      <w:pPr>
        <w:spacing w:line="276" w:lineRule="auto"/>
        <w:rPr>
          <w:rFonts w:asciiTheme="minorHAnsi" w:hAnsiTheme="minorHAnsi" w:cstheme="minorHAnsi"/>
        </w:rPr>
      </w:pPr>
    </w:p>
    <w:p w14:paraId="47936EB8" w14:textId="77777777" w:rsidR="00744857" w:rsidRPr="00B231EF" w:rsidRDefault="00744857" w:rsidP="00902A63">
      <w:pPr>
        <w:pStyle w:val="ListParagraph"/>
        <w:numPr>
          <w:ilvl w:val="0"/>
          <w:numId w:val="4"/>
        </w:numPr>
        <w:spacing w:after="0"/>
        <w:ind w:left="714" w:hanging="357"/>
        <w:rPr>
          <w:rFonts w:cstheme="minorHAnsi"/>
          <w:sz w:val="24"/>
          <w:szCs w:val="24"/>
        </w:rPr>
      </w:pPr>
      <w:r w:rsidRPr="00B231EF">
        <w:rPr>
          <w:rFonts w:cstheme="minorHAnsi"/>
          <w:sz w:val="24"/>
          <w:szCs w:val="24"/>
        </w:rPr>
        <w:t xml:space="preserve">the lack of service available to those in early stages of distress where simple intervention might suffice </w:t>
      </w:r>
    </w:p>
    <w:p w14:paraId="17F9051D" w14:textId="77777777" w:rsidR="00744857" w:rsidRPr="00B231EF" w:rsidRDefault="00744857" w:rsidP="00902A63">
      <w:pPr>
        <w:pStyle w:val="ListParagraph"/>
        <w:numPr>
          <w:ilvl w:val="0"/>
          <w:numId w:val="4"/>
        </w:numPr>
        <w:spacing w:after="0"/>
        <w:ind w:left="714" w:hanging="357"/>
        <w:rPr>
          <w:rFonts w:cstheme="minorHAnsi"/>
          <w:sz w:val="24"/>
          <w:szCs w:val="24"/>
        </w:rPr>
      </w:pPr>
      <w:r w:rsidRPr="00B231EF">
        <w:rPr>
          <w:rFonts w:cstheme="minorHAnsi"/>
          <w:sz w:val="24"/>
          <w:szCs w:val="24"/>
        </w:rPr>
        <w:t>the mainstream (and therefore non-Māori) focus of mental health services and their particular therapeutic and pharmaceutical approaches to becoming well again</w:t>
      </w:r>
    </w:p>
    <w:p w14:paraId="6A0341E6" w14:textId="4745E4A7" w:rsidR="00186027" w:rsidRPr="009A74B1" w:rsidRDefault="00186027" w:rsidP="00902A63">
      <w:pPr>
        <w:pStyle w:val="ListParagraph"/>
        <w:numPr>
          <w:ilvl w:val="0"/>
          <w:numId w:val="4"/>
        </w:numPr>
        <w:spacing w:after="0"/>
        <w:ind w:left="714" w:hanging="357"/>
        <w:rPr>
          <w:rFonts w:cstheme="minorHAnsi"/>
          <w:b/>
          <w:sz w:val="24"/>
          <w:szCs w:val="24"/>
        </w:rPr>
      </w:pPr>
      <w:r w:rsidRPr="00B231EF">
        <w:rPr>
          <w:rFonts w:cstheme="minorHAnsi"/>
          <w:sz w:val="24"/>
          <w:szCs w:val="24"/>
        </w:rPr>
        <w:t xml:space="preserve">the lack of resilience development in children of marginalised communities and in early childhood education that might help fill that gap </w:t>
      </w:r>
      <w:r w:rsidR="00744857" w:rsidRPr="00B231EF">
        <w:rPr>
          <w:rFonts w:cstheme="minorHAnsi"/>
          <w:sz w:val="24"/>
          <w:szCs w:val="24"/>
        </w:rPr>
        <w:t xml:space="preserve"> </w:t>
      </w:r>
    </w:p>
    <w:p w14:paraId="5C6B642D" w14:textId="06D7F59B" w:rsidR="009A74B1" w:rsidRPr="00B231EF" w:rsidRDefault="009A74B1" w:rsidP="00902A63">
      <w:pPr>
        <w:pStyle w:val="ListParagraph"/>
        <w:numPr>
          <w:ilvl w:val="0"/>
          <w:numId w:val="4"/>
        </w:numPr>
        <w:spacing w:after="0"/>
        <w:ind w:left="714" w:hanging="357"/>
        <w:rPr>
          <w:rFonts w:cstheme="minorHAnsi"/>
          <w:b/>
          <w:sz w:val="24"/>
          <w:szCs w:val="24"/>
        </w:rPr>
      </w:pPr>
      <w:r>
        <w:rPr>
          <w:rFonts w:cstheme="minorHAnsi"/>
          <w:sz w:val="24"/>
          <w:szCs w:val="24"/>
        </w:rPr>
        <w:t>that we have no wish to medicalise mental health distress and that we recognise this distress as a</w:t>
      </w:r>
      <w:r w:rsidRPr="009A74B1">
        <w:rPr>
          <w:rFonts w:cstheme="minorHAnsi"/>
          <w:sz w:val="24"/>
          <w:szCs w:val="24"/>
        </w:rPr>
        <w:t xml:space="preserve"> </w:t>
      </w:r>
      <w:r w:rsidRPr="009A74B1">
        <w:rPr>
          <w:sz w:val="24"/>
          <w:szCs w:val="24"/>
        </w:rPr>
        <w:t xml:space="preserve">reasonable </w:t>
      </w:r>
      <w:r>
        <w:rPr>
          <w:sz w:val="24"/>
          <w:szCs w:val="24"/>
        </w:rPr>
        <w:t>response</w:t>
      </w:r>
      <w:r w:rsidRPr="009A74B1">
        <w:rPr>
          <w:sz w:val="24"/>
          <w:szCs w:val="24"/>
        </w:rPr>
        <w:t xml:space="preserve"> to adverse social and cultural states of being</w:t>
      </w:r>
    </w:p>
    <w:p w14:paraId="2B73F0D2" w14:textId="77777777" w:rsidR="00B231EF" w:rsidRPr="00B231EF" w:rsidRDefault="00B231EF" w:rsidP="00B231EF">
      <w:pPr>
        <w:rPr>
          <w:rFonts w:cstheme="minorHAnsi"/>
          <w:b/>
        </w:rPr>
      </w:pPr>
    </w:p>
    <w:p w14:paraId="2D81281D" w14:textId="71C3A724" w:rsidR="00376840" w:rsidRPr="00B231EF" w:rsidRDefault="00186027" w:rsidP="00B231EF">
      <w:pPr>
        <w:spacing w:line="276" w:lineRule="auto"/>
        <w:rPr>
          <w:rFonts w:asciiTheme="minorHAnsi" w:hAnsiTheme="minorHAnsi" w:cstheme="minorHAnsi"/>
        </w:rPr>
      </w:pPr>
      <w:r w:rsidRPr="00B231EF">
        <w:rPr>
          <w:rFonts w:asciiTheme="minorHAnsi" w:hAnsiTheme="minorHAnsi" w:cstheme="minorHAnsi"/>
        </w:rPr>
        <w:t xml:space="preserve">Children need </w:t>
      </w:r>
      <w:r w:rsidR="00072E9B">
        <w:rPr>
          <w:rFonts w:asciiTheme="minorHAnsi" w:hAnsiTheme="minorHAnsi" w:cstheme="minorHAnsi"/>
        </w:rPr>
        <w:t xml:space="preserve">safe and </w:t>
      </w:r>
      <w:r w:rsidRPr="00B231EF">
        <w:rPr>
          <w:rFonts w:asciiTheme="minorHAnsi" w:hAnsiTheme="minorHAnsi" w:cstheme="minorHAnsi"/>
        </w:rPr>
        <w:t>loving attention in their upbringing</w:t>
      </w:r>
      <w:r w:rsidR="00E31384" w:rsidRPr="00B231EF">
        <w:rPr>
          <w:rFonts w:asciiTheme="minorHAnsi" w:hAnsiTheme="minorHAnsi" w:cstheme="minorHAnsi"/>
        </w:rPr>
        <w:t>,</w:t>
      </w:r>
      <w:r w:rsidR="00E31384" w:rsidRPr="00B231EF">
        <w:rPr>
          <w:rStyle w:val="FootnoteReference"/>
          <w:rFonts w:asciiTheme="minorHAnsi" w:hAnsiTheme="minorHAnsi" w:cstheme="minorHAnsi"/>
        </w:rPr>
        <w:footnoteReference w:id="31"/>
      </w:r>
      <w:r w:rsidR="00E31384" w:rsidRPr="00B231EF">
        <w:rPr>
          <w:rFonts w:asciiTheme="minorHAnsi" w:hAnsiTheme="minorHAnsi" w:cstheme="minorHAnsi"/>
        </w:rPr>
        <w:t xml:space="preserve"> and a lack of that attention and exposure to adverse events in early childhood leads to poorer mental health outcomes.</w:t>
      </w:r>
      <w:r w:rsidR="00E31384" w:rsidRPr="00B231EF">
        <w:rPr>
          <w:rStyle w:val="FootnoteReference"/>
          <w:rFonts w:asciiTheme="minorHAnsi" w:hAnsiTheme="minorHAnsi" w:cstheme="minorHAnsi"/>
        </w:rPr>
        <w:footnoteReference w:id="32"/>
      </w:r>
      <w:r w:rsidR="00A22974" w:rsidRPr="00B231EF">
        <w:rPr>
          <w:rFonts w:asciiTheme="minorHAnsi" w:hAnsiTheme="minorHAnsi" w:cstheme="minorHAnsi"/>
          <w:vertAlign w:val="superscript"/>
        </w:rPr>
        <w:t>,</w:t>
      </w:r>
      <w:r w:rsidR="001466F0" w:rsidRPr="00B231EF">
        <w:rPr>
          <w:rStyle w:val="FootnoteReference"/>
          <w:rFonts w:asciiTheme="minorHAnsi" w:hAnsiTheme="minorHAnsi" w:cstheme="minorHAnsi"/>
        </w:rPr>
        <w:footnoteReference w:id="33"/>
      </w:r>
      <w:r w:rsidR="00A22974" w:rsidRPr="00B231EF">
        <w:rPr>
          <w:rFonts w:asciiTheme="minorHAnsi" w:hAnsiTheme="minorHAnsi" w:cstheme="minorHAnsi"/>
          <w:vertAlign w:val="superscript"/>
        </w:rPr>
        <w:t xml:space="preserve"> </w:t>
      </w:r>
      <w:r w:rsidR="00E31384" w:rsidRPr="00B231EF">
        <w:rPr>
          <w:rFonts w:asciiTheme="minorHAnsi" w:hAnsiTheme="minorHAnsi" w:cstheme="minorHAnsi"/>
        </w:rPr>
        <w:t xml:space="preserve">We do poorly in New Zealand with regard to both a poor experience of an early life where poverty, poor housing, and preventable illness are rife, and possibly a lesser experience of childhood where good parenthood and good parenting is challenged by those things. </w:t>
      </w:r>
      <w:r w:rsidR="005B1EBA" w:rsidRPr="00B231EF">
        <w:rPr>
          <w:rFonts w:asciiTheme="minorHAnsi" w:hAnsiTheme="minorHAnsi" w:cstheme="minorHAnsi"/>
        </w:rPr>
        <w:t xml:space="preserve">But it is clear that </w:t>
      </w:r>
      <w:r w:rsidR="00A22974" w:rsidRPr="00B231EF">
        <w:rPr>
          <w:rFonts w:asciiTheme="minorHAnsi" w:hAnsiTheme="minorHAnsi" w:cstheme="minorHAnsi"/>
        </w:rPr>
        <w:t>healthy pregnancies,</w:t>
      </w:r>
      <w:r w:rsidR="00A22974" w:rsidRPr="00B231EF">
        <w:rPr>
          <w:rStyle w:val="FootnoteReference"/>
          <w:rFonts w:asciiTheme="minorHAnsi" w:hAnsiTheme="minorHAnsi" w:cstheme="minorHAnsi"/>
        </w:rPr>
        <w:footnoteReference w:id="34"/>
      </w:r>
      <w:r w:rsidR="00A22974" w:rsidRPr="00B231EF">
        <w:rPr>
          <w:rFonts w:asciiTheme="minorHAnsi" w:hAnsiTheme="minorHAnsi" w:cstheme="minorHAnsi"/>
        </w:rPr>
        <w:t xml:space="preserve"> early childhood education</w:t>
      </w:r>
      <w:r w:rsidR="004D5E58" w:rsidRPr="00B231EF">
        <w:rPr>
          <w:rStyle w:val="FootnoteReference"/>
          <w:rFonts w:asciiTheme="minorHAnsi" w:hAnsiTheme="minorHAnsi" w:cstheme="minorHAnsi"/>
        </w:rPr>
        <w:footnoteReference w:id="35"/>
      </w:r>
      <w:r w:rsidR="00A22974" w:rsidRPr="00B231EF">
        <w:rPr>
          <w:rFonts w:asciiTheme="minorHAnsi" w:hAnsiTheme="minorHAnsi" w:cstheme="minorHAnsi"/>
        </w:rPr>
        <w:t xml:space="preserve"> and </w:t>
      </w:r>
      <w:r w:rsidR="005B1EBA" w:rsidRPr="00B231EF">
        <w:rPr>
          <w:rFonts w:asciiTheme="minorHAnsi" w:hAnsiTheme="minorHAnsi" w:cstheme="minorHAnsi"/>
        </w:rPr>
        <w:t>school systems</w:t>
      </w:r>
      <w:r w:rsidR="00A22974" w:rsidRPr="00B231EF">
        <w:rPr>
          <w:rStyle w:val="FootnoteReference"/>
          <w:rFonts w:asciiTheme="minorHAnsi" w:hAnsiTheme="minorHAnsi" w:cstheme="minorHAnsi"/>
        </w:rPr>
        <w:footnoteReference w:id="36"/>
      </w:r>
      <w:r w:rsidR="005B1EBA" w:rsidRPr="00B231EF">
        <w:rPr>
          <w:rFonts w:asciiTheme="minorHAnsi" w:hAnsiTheme="minorHAnsi" w:cstheme="minorHAnsi"/>
        </w:rPr>
        <w:t xml:space="preserve"> are able to </w:t>
      </w:r>
      <w:r w:rsidR="009B6B9B" w:rsidRPr="00B231EF">
        <w:rPr>
          <w:rFonts w:asciiTheme="minorHAnsi" w:hAnsiTheme="minorHAnsi" w:cstheme="minorHAnsi"/>
        </w:rPr>
        <w:t xml:space="preserve">enhance </w:t>
      </w:r>
      <w:r w:rsidR="00A22974" w:rsidRPr="00B231EF">
        <w:rPr>
          <w:rFonts w:asciiTheme="minorHAnsi" w:hAnsiTheme="minorHAnsi" w:cstheme="minorHAnsi"/>
        </w:rPr>
        <w:t>‘</w:t>
      </w:r>
      <w:r w:rsidR="009B6B9B" w:rsidRPr="00B231EF">
        <w:rPr>
          <w:rFonts w:asciiTheme="minorHAnsi" w:hAnsiTheme="minorHAnsi" w:cstheme="minorHAnsi"/>
        </w:rPr>
        <w:t xml:space="preserve">social and emotional learning’. </w:t>
      </w:r>
    </w:p>
    <w:p w14:paraId="180AA985" w14:textId="77777777" w:rsidR="004D5E58" w:rsidRPr="00B231EF" w:rsidRDefault="004D5E58" w:rsidP="00B231EF">
      <w:pPr>
        <w:spacing w:line="276" w:lineRule="auto"/>
        <w:rPr>
          <w:rFonts w:asciiTheme="minorHAnsi" w:hAnsiTheme="minorHAnsi" w:cstheme="minorHAnsi"/>
        </w:rPr>
      </w:pPr>
    </w:p>
    <w:p w14:paraId="2645B1F1" w14:textId="58C24D9F" w:rsidR="004D5E58" w:rsidRDefault="004D5E58" w:rsidP="00B231EF">
      <w:pPr>
        <w:spacing w:line="276" w:lineRule="auto"/>
        <w:rPr>
          <w:rFonts w:asciiTheme="minorHAnsi" w:hAnsiTheme="minorHAnsi" w:cstheme="minorHAnsi"/>
        </w:rPr>
      </w:pPr>
      <w:r w:rsidRPr="00B231EF">
        <w:rPr>
          <w:rFonts w:asciiTheme="minorHAnsi" w:hAnsiTheme="minorHAnsi" w:cstheme="minorHAnsi"/>
        </w:rPr>
        <w:t>Therefore we would like to see:</w:t>
      </w:r>
    </w:p>
    <w:p w14:paraId="755829CE" w14:textId="77777777" w:rsidR="00B231EF" w:rsidRPr="00B231EF" w:rsidRDefault="00B231EF" w:rsidP="00B231EF">
      <w:pPr>
        <w:spacing w:line="276" w:lineRule="auto"/>
        <w:rPr>
          <w:rFonts w:asciiTheme="minorHAnsi" w:hAnsiTheme="minorHAnsi" w:cstheme="minorHAnsi"/>
        </w:rPr>
      </w:pPr>
    </w:p>
    <w:p w14:paraId="4EF78D61" w14:textId="01477622" w:rsidR="004D5E58" w:rsidRPr="00B231EF" w:rsidRDefault="004D5E58" w:rsidP="00B231EF">
      <w:pPr>
        <w:pStyle w:val="ListParagraph"/>
        <w:numPr>
          <w:ilvl w:val="0"/>
          <w:numId w:val="5"/>
        </w:numPr>
        <w:spacing w:after="0"/>
        <w:rPr>
          <w:rFonts w:cstheme="minorHAnsi"/>
          <w:sz w:val="24"/>
          <w:szCs w:val="24"/>
        </w:rPr>
      </w:pPr>
      <w:r w:rsidRPr="00B231EF">
        <w:rPr>
          <w:rFonts w:cstheme="minorHAnsi"/>
          <w:sz w:val="24"/>
          <w:szCs w:val="24"/>
        </w:rPr>
        <w:t xml:space="preserve">The development of community-based open access mental health centres </w:t>
      </w:r>
    </w:p>
    <w:p w14:paraId="2D8BB644" w14:textId="64E78906" w:rsidR="004D5E58" w:rsidRPr="00B231EF" w:rsidRDefault="004D5E58" w:rsidP="00B231EF">
      <w:pPr>
        <w:pStyle w:val="ListParagraph"/>
        <w:numPr>
          <w:ilvl w:val="0"/>
          <w:numId w:val="5"/>
        </w:numPr>
        <w:spacing w:after="0"/>
        <w:rPr>
          <w:rFonts w:cstheme="minorHAnsi"/>
          <w:sz w:val="24"/>
          <w:szCs w:val="24"/>
        </w:rPr>
      </w:pPr>
      <w:r w:rsidRPr="00B231EF">
        <w:rPr>
          <w:rFonts w:cstheme="minorHAnsi"/>
          <w:sz w:val="24"/>
          <w:szCs w:val="24"/>
        </w:rPr>
        <w:t>The centres are staffed by professional mental health workers (many of whom are Māori) whose extra training in an appropriate therapeutic approach to Māori mental health is  paramount</w:t>
      </w:r>
    </w:p>
    <w:p w14:paraId="2698DBAC" w14:textId="24CB367A" w:rsidR="00744857" w:rsidRPr="00B231EF" w:rsidRDefault="004D5E58" w:rsidP="00B231EF">
      <w:pPr>
        <w:pStyle w:val="ListParagraph"/>
        <w:numPr>
          <w:ilvl w:val="0"/>
          <w:numId w:val="5"/>
        </w:numPr>
        <w:spacing w:after="0"/>
        <w:rPr>
          <w:rFonts w:cstheme="minorHAnsi"/>
          <w:sz w:val="24"/>
          <w:szCs w:val="24"/>
        </w:rPr>
      </w:pPr>
      <w:r w:rsidRPr="00B231EF">
        <w:rPr>
          <w:rFonts w:cstheme="minorHAnsi"/>
          <w:sz w:val="24"/>
          <w:szCs w:val="24"/>
        </w:rPr>
        <w:t>That these centres are also well staffed with ‘community support and advocacy workers’</w:t>
      </w:r>
      <w:r w:rsidR="002B62A9">
        <w:rPr>
          <w:rFonts w:cstheme="minorHAnsi"/>
          <w:sz w:val="24"/>
          <w:szCs w:val="24"/>
        </w:rPr>
        <w:t>,</w:t>
      </w:r>
      <w:r w:rsidRPr="00B231EF">
        <w:rPr>
          <w:rFonts w:cstheme="minorHAnsi"/>
          <w:sz w:val="24"/>
          <w:szCs w:val="24"/>
        </w:rPr>
        <w:t xml:space="preserve"> </w:t>
      </w:r>
      <w:r w:rsidR="00744857" w:rsidRPr="00B231EF">
        <w:rPr>
          <w:rFonts w:cstheme="minorHAnsi"/>
          <w:sz w:val="24"/>
          <w:szCs w:val="24"/>
        </w:rPr>
        <w:t xml:space="preserve">who also have extra </w:t>
      </w:r>
      <w:r w:rsidRPr="00B231EF">
        <w:rPr>
          <w:rFonts w:cstheme="minorHAnsi"/>
          <w:sz w:val="24"/>
          <w:szCs w:val="24"/>
        </w:rPr>
        <w:t>train</w:t>
      </w:r>
      <w:r w:rsidR="00744857" w:rsidRPr="00B231EF">
        <w:rPr>
          <w:rFonts w:cstheme="minorHAnsi"/>
          <w:sz w:val="24"/>
          <w:szCs w:val="24"/>
        </w:rPr>
        <w:t>ing in an appropriate therapeutic approach to Māori mental health</w:t>
      </w:r>
      <w:r w:rsidR="002B62A9">
        <w:rPr>
          <w:rFonts w:cstheme="minorHAnsi"/>
          <w:sz w:val="24"/>
          <w:szCs w:val="24"/>
        </w:rPr>
        <w:t>,</w:t>
      </w:r>
      <w:r w:rsidR="002B62A9" w:rsidRPr="002B62A9">
        <w:rPr>
          <w:rFonts w:cstheme="minorHAnsi"/>
          <w:sz w:val="24"/>
          <w:szCs w:val="24"/>
        </w:rPr>
        <w:t xml:space="preserve"> </w:t>
      </w:r>
      <w:r w:rsidR="002B62A9">
        <w:rPr>
          <w:rFonts w:cstheme="minorHAnsi"/>
          <w:sz w:val="24"/>
          <w:szCs w:val="24"/>
        </w:rPr>
        <w:t>and who can ensure that Māori individuals and whānau are supported to access resources they have rights to</w:t>
      </w:r>
    </w:p>
    <w:p w14:paraId="3FAE5F2C" w14:textId="6A1A6480" w:rsidR="00744857" w:rsidRPr="00B231EF" w:rsidRDefault="00744857" w:rsidP="00B231EF">
      <w:pPr>
        <w:pStyle w:val="ListParagraph"/>
        <w:numPr>
          <w:ilvl w:val="0"/>
          <w:numId w:val="5"/>
        </w:numPr>
        <w:spacing w:after="0"/>
        <w:rPr>
          <w:rFonts w:cstheme="minorHAnsi"/>
          <w:sz w:val="24"/>
          <w:szCs w:val="24"/>
        </w:rPr>
      </w:pPr>
      <w:r w:rsidRPr="00B231EF">
        <w:rPr>
          <w:rFonts w:cstheme="minorHAnsi"/>
          <w:sz w:val="24"/>
          <w:szCs w:val="24"/>
        </w:rPr>
        <w:t xml:space="preserve">That </w:t>
      </w:r>
      <w:proofErr w:type="spellStart"/>
      <w:r w:rsidRPr="00B231EF">
        <w:rPr>
          <w:rFonts w:cstheme="minorHAnsi"/>
          <w:sz w:val="24"/>
          <w:szCs w:val="24"/>
        </w:rPr>
        <w:t>whaiora</w:t>
      </w:r>
      <w:proofErr w:type="spellEnd"/>
      <w:r w:rsidRPr="00B231EF">
        <w:rPr>
          <w:rFonts w:cstheme="minorHAnsi"/>
          <w:sz w:val="24"/>
          <w:szCs w:val="24"/>
        </w:rPr>
        <w:t>/</w:t>
      </w:r>
      <w:proofErr w:type="spellStart"/>
      <w:r w:rsidRPr="00B231EF">
        <w:rPr>
          <w:rFonts w:cstheme="minorHAnsi"/>
          <w:sz w:val="24"/>
          <w:szCs w:val="24"/>
        </w:rPr>
        <w:t>tūroro</w:t>
      </w:r>
      <w:proofErr w:type="spellEnd"/>
      <w:r w:rsidRPr="00B231EF">
        <w:rPr>
          <w:rFonts w:cstheme="minorHAnsi"/>
          <w:sz w:val="24"/>
          <w:szCs w:val="24"/>
        </w:rPr>
        <w:t xml:space="preserve"> are seen and treated within the context of their whānau and the community in which they live</w:t>
      </w:r>
    </w:p>
    <w:p w14:paraId="118E6376" w14:textId="22CC8227" w:rsidR="00744857" w:rsidRPr="00B231EF" w:rsidRDefault="00744857" w:rsidP="00B231EF">
      <w:pPr>
        <w:pStyle w:val="ListParagraph"/>
        <w:numPr>
          <w:ilvl w:val="0"/>
          <w:numId w:val="5"/>
        </w:numPr>
        <w:spacing w:after="0"/>
        <w:rPr>
          <w:rFonts w:cstheme="minorHAnsi"/>
          <w:sz w:val="24"/>
          <w:szCs w:val="24"/>
        </w:rPr>
      </w:pPr>
      <w:r w:rsidRPr="00B231EF">
        <w:rPr>
          <w:rFonts w:cstheme="minorHAnsi"/>
          <w:sz w:val="24"/>
          <w:szCs w:val="24"/>
        </w:rPr>
        <w:t>That these centres are funded separately from DHB control where money is incessantly invested in hospital systems and  the very unwell patient</w:t>
      </w:r>
    </w:p>
    <w:p w14:paraId="5F61C092" w14:textId="6A0A508F" w:rsidR="00744857" w:rsidRPr="00B231EF" w:rsidRDefault="00744857" w:rsidP="00B231EF">
      <w:pPr>
        <w:pStyle w:val="ListParagraph"/>
        <w:numPr>
          <w:ilvl w:val="0"/>
          <w:numId w:val="5"/>
        </w:numPr>
        <w:spacing w:after="0"/>
        <w:rPr>
          <w:rFonts w:cstheme="minorHAnsi"/>
          <w:sz w:val="24"/>
          <w:szCs w:val="24"/>
        </w:rPr>
      </w:pPr>
      <w:r w:rsidRPr="00B231EF">
        <w:rPr>
          <w:rFonts w:cstheme="minorHAnsi"/>
          <w:sz w:val="24"/>
          <w:szCs w:val="24"/>
        </w:rPr>
        <w:t>That there is a national approach to ‘community mental health’ and that the philosophical  approach to provision of mental health service is consistent with Māori values.</w:t>
      </w:r>
    </w:p>
    <w:p w14:paraId="44257C14" w14:textId="77777777" w:rsidR="00744857" w:rsidRPr="00B231EF" w:rsidRDefault="00744857" w:rsidP="00B231EF">
      <w:pPr>
        <w:spacing w:line="276" w:lineRule="auto"/>
        <w:rPr>
          <w:rFonts w:asciiTheme="minorHAnsi" w:hAnsiTheme="minorHAnsi" w:cstheme="minorHAnsi"/>
        </w:rPr>
      </w:pPr>
    </w:p>
    <w:p w14:paraId="365B0617" w14:textId="5D057433" w:rsidR="00744857" w:rsidRPr="00B231EF" w:rsidRDefault="00744857" w:rsidP="00B231EF">
      <w:pPr>
        <w:spacing w:line="276" w:lineRule="auto"/>
        <w:rPr>
          <w:rFonts w:asciiTheme="minorHAnsi" w:hAnsiTheme="minorHAnsi" w:cstheme="minorHAnsi"/>
        </w:rPr>
      </w:pPr>
      <w:r w:rsidRPr="00B231EF">
        <w:rPr>
          <w:rFonts w:asciiTheme="minorHAnsi" w:hAnsiTheme="minorHAnsi" w:cstheme="minorHAnsi"/>
        </w:rPr>
        <w:t>We would also like to see:</w:t>
      </w:r>
    </w:p>
    <w:p w14:paraId="12E7DD6B" w14:textId="77777777" w:rsidR="00B231EF" w:rsidRPr="00B231EF" w:rsidRDefault="00B231EF" w:rsidP="00B231EF">
      <w:pPr>
        <w:spacing w:line="276" w:lineRule="auto"/>
        <w:rPr>
          <w:rFonts w:asciiTheme="minorHAnsi" w:hAnsiTheme="minorHAnsi" w:cstheme="minorHAnsi"/>
        </w:rPr>
      </w:pPr>
    </w:p>
    <w:p w14:paraId="214619AD" w14:textId="5270B6E0" w:rsidR="002B62A9" w:rsidRPr="00902A63" w:rsidRDefault="00744857" w:rsidP="00902A63">
      <w:pPr>
        <w:pStyle w:val="ListParagraph"/>
        <w:numPr>
          <w:ilvl w:val="0"/>
          <w:numId w:val="6"/>
        </w:numPr>
        <w:rPr>
          <w:rFonts w:cstheme="minorHAnsi"/>
          <w:sz w:val="24"/>
          <w:szCs w:val="24"/>
        </w:rPr>
      </w:pPr>
      <w:r w:rsidRPr="00902A63">
        <w:rPr>
          <w:rFonts w:cstheme="minorHAnsi"/>
          <w:sz w:val="24"/>
          <w:szCs w:val="24"/>
        </w:rPr>
        <w:t xml:space="preserve">A purposeful re-development of early childhood education for deprived and for Māori and Pacific communities such that the ethos of that education concentrates around ‘developing the ‘social and emotional’ learning of children in the context of their community of residence and their cultural needs. </w:t>
      </w:r>
    </w:p>
    <w:p w14:paraId="565CBB34" w14:textId="125C7D2D" w:rsidR="00744857" w:rsidRPr="00902A63" w:rsidRDefault="00744857" w:rsidP="00902A63">
      <w:pPr>
        <w:pStyle w:val="ListParagraph"/>
        <w:numPr>
          <w:ilvl w:val="0"/>
          <w:numId w:val="6"/>
        </w:numPr>
        <w:autoSpaceDE w:val="0"/>
        <w:autoSpaceDN w:val="0"/>
        <w:adjustRightInd w:val="0"/>
        <w:rPr>
          <w:rFonts w:cstheme="minorHAnsi"/>
          <w:sz w:val="24"/>
          <w:szCs w:val="24"/>
          <w:lang w:val="en-US"/>
        </w:rPr>
      </w:pPr>
      <w:r w:rsidRPr="00902A63">
        <w:rPr>
          <w:rFonts w:cstheme="minorHAnsi"/>
          <w:sz w:val="24"/>
          <w:szCs w:val="24"/>
          <w:lang w:val="en-US"/>
        </w:rPr>
        <w:t xml:space="preserve">A primary education that </w:t>
      </w:r>
      <w:r w:rsidR="00532758" w:rsidRPr="00902A63">
        <w:rPr>
          <w:rFonts w:cstheme="minorHAnsi"/>
          <w:sz w:val="24"/>
          <w:szCs w:val="24"/>
          <w:lang w:val="en-US"/>
        </w:rPr>
        <w:t xml:space="preserve">likewise </w:t>
      </w:r>
      <w:r w:rsidR="002B62A9" w:rsidRPr="00902A63">
        <w:rPr>
          <w:rFonts w:cstheme="minorHAnsi"/>
          <w:sz w:val="24"/>
          <w:szCs w:val="24"/>
          <w:lang w:val="en-US"/>
        </w:rPr>
        <w:t>prioritis</w:t>
      </w:r>
      <w:r w:rsidRPr="00902A63">
        <w:rPr>
          <w:rFonts w:cstheme="minorHAnsi"/>
          <w:sz w:val="24"/>
          <w:szCs w:val="24"/>
          <w:lang w:val="en-US"/>
        </w:rPr>
        <w:t xml:space="preserve">es the development of socio- emotional skills and coping skills providing </w:t>
      </w:r>
      <w:r w:rsidR="00532758" w:rsidRPr="00902A63">
        <w:rPr>
          <w:rFonts w:cstheme="minorHAnsi"/>
          <w:sz w:val="24"/>
          <w:szCs w:val="24"/>
          <w:lang w:val="en-US"/>
        </w:rPr>
        <w:t>mentorship, coaching</w:t>
      </w:r>
      <w:r w:rsidRPr="00902A63">
        <w:rPr>
          <w:rFonts w:cstheme="minorHAnsi"/>
          <w:sz w:val="24"/>
          <w:szCs w:val="24"/>
          <w:lang w:val="en-US"/>
        </w:rPr>
        <w:t xml:space="preserve"> and guidance across a range of sporting</w:t>
      </w:r>
      <w:r w:rsidR="00532758" w:rsidRPr="00902A63">
        <w:rPr>
          <w:rFonts w:cstheme="minorHAnsi"/>
          <w:sz w:val="24"/>
          <w:szCs w:val="24"/>
          <w:lang w:val="en-US"/>
        </w:rPr>
        <w:t xml:space="preserve"> and </w:t>
      </w:r>
      <w:r w:rsidR="002B62A9" w:rsidRPr="00902A63">
        <w:rPr>
          <w:rFonts w:cstheme="minorHAnsi"/>
          <w:sz w:val="24"/>
          <w:szCs w:val="24"/>
          <w:lang w:val="en-US"/>
        </w:rPr>
        <w:t xml:space="preserve">cultural activities. </w:t>
      </w:r>
    </w:p>
    <w:p w14:paraId="48678549" w14:textId="5DBD2962" w:rsidR="002B62A9" w:rsidRPr="00902A63" w:rsidRDefault="002B62A9" w:rsidP="002B62A9">
      <w:pPr>
        <w:pStyle w:val="ListParagraph"/>
        <w:numPr>
          <w:ilvl w:val="0"/>
          <w:numId w:val="6"/>
        </w:numPr>
        <w:rPr>
          <w:rFonts w:cstheme="minorHAnsi"/>
          <w:sz w:val="24"/>
          <w:szCs w:val="24"/>
        </w:rPr>
      </w:pPr>
      <w:r w:rsidRPr="00902A63">
        <w:rPr>
          <w:rFonts w:cstheme="minorHAnsi"/>
          <w:sz w:val="24"/>
          <w:szCs w:val="24"/>
          <w:lang w:val="en-US"/>
        </w:rPr>
        <w:t>A s</w:t>
      </w:r>
      <w:r w:rsidR="00532758" w:rsidRPr="00902A63">
        <w:rPr>
          <w:rFonts w:cstheme="minorHAnsi"/>
          <w:sz w:val="24"/>
          <w:szCs w:val="24"/>
          <w:lang w:val="en-US"/>
        </w:rPr>
        <w:t xml:space="preserve">econdary education </w:t>
      </w:r>
      <w:r w:rsidRPr="00902A63">
        <w:rPr>
          <w:rFonts w:cstheme="minorHAnsi"/>
          <w:sz w:val="24"/>
          <w:szCs w:val="24"/>
          <w:lang w:val="en-US"/>
        </w:rPr>
        <w:t xml:space="preserve">system that </w:t>
      </w:r>
      <w:r w:rsidR="00532758" w:rsidRPr="00902A63">
        <w:rPr>
          <w:rFonts w:cstheme="minorHAnsi"/>
          <w:sz w:val="24"/>
          <w:szCs w:val="24"/>
          <w:lang w:val="en-US"/>
        </w:rPr>
        <w:t>get</w:t>
      </w:r>
      <w:r w:rsidRPr="00902A63">
        <w:rPr>
          <w:rFonts w:cstheme="minorHAnsi"/>
          <w:sz w:val="24"/>
          <w:szCs w:val="24"/>
          <w:lang w:val="en-US"/>
        </w:rPr>
        <w:t>s</w:t>
      </w:r>
      <w:r w:rsidR="00532758" w:rsidRPr="00902A63">
        <w:rPr>
          <w:rFonts w:cstheme="minorHAnsi"/>
          <w:sz w:val="24"/>
          <w:szCs w:val="24"/>
          <w:lang w:val="en-US"/>
        </w:rPr>
        <w:t xml:space="preserve"> rid of </w:t>
      </w:r>
      <w:r w:rsidR="00532758" w:rsidRPr="00902A63">
        <w:rPr>
          <w:rFonts w:cstheme="minorHAnsi"/>
          <w:color w:val="000000"/>
          <w:sz w:val="24"/>
          <w:szCs w:val="24"/>
          <w:shd w:val="clear" w:color="auto" w:fill="FFFFFF"/>
        </w:rPr>
        <w:t xml:space="preserve">its teaching of compliance and conformity and the need to learn appropriate </w:t>
      </w:r>
      <w:r w:rsidRPr="00902A63">
        <w:rPr>
          <w:rFonts w:cstheme="minorHAnsi"/>
          <w:color w:val="000000"/>
          <w:sz w:val="24"/>
          <w:szCs w:val="24"/>
          <w:shd w:val="clear" w:color="auto" w:fill="FFFFFF"/>
        </w:rPr>
        <w:t xml:space="preserve">skills for a job, alongside the development of age </w:t>
      </w:r>
      <w:r w:rsidR="00532758" w:rsidRPr="00902A63">
        <w:rPr>
          <w:rFonts w:cstheme="minorHAnsi"/>
          <w:color w:val="000000"/>
          <w:sz w:val="24"/>
          <w:szCs w:val="24"/>
          <w:shd w:val="clear" w:color="auto" w:fill="FFFFFF"/>
        </w:rPr>
        <w:t xml:space="preserve">appropriate lessons in how to deal well with life’s challenges like </w:t>
      </w:r>
      <w:r w:rsidR="00532758" w:rsidRPr="00902A63">
        <w:rPr>
          <w:rFonts w:cstheme="minorHAnsi"/>
          <w:sz w:val="24"/>
          <w:szCs w:val="24"/>
          <w:lang w:val="en-US"/>
        </w:rPr>
        <w:t>sexual behavior and alcohol and</w:t>
      </w:r>
      <w:r w:rsidRPr="00902A63">
        <w:rPr>
          <w:rFonts w:cstheme="minorHAnsi"/>
          <w:sz w:val="24"/>
          <w:szCs w:val="24"/>
          <w:lang w:val="en-US"/>
        </w:rPr>
        <w:t xml:space="preserve"> substance use, bullying, intimidation, social media being a happy and fulfilled individual in a whānau and a cultural community seems a good place to start. </w:t>
      </w:r>
    </w:p>
    <w:p w14:paraId="013ACFBD" w14:textId="7D4A8684" w:rsidR="00902A63" w:rsidRPr="00534B18" w:rsidRDefault="00902A63" w:rsidP="00534B18">
      <w:pPr>
        <w:spacing w:line="276" w:lineRule="auto"/>
        <w:rPr>
          <w:rFonts w:asciiTheme="minorHAnsi" w:hAnsiTheme="minorHAnsi" w:cstheme="minorHAnsi"/>
        </w:rPr>
      </w:pPr>
      <w:r w:rsidRPr="00534B18">
        <w:rPr>
          <w:rFonts w:asciiTheme="minorHAnsi" w:hAnsiTheme="minorHAnsi" w:cstheme="minorHAnsi"/>
        </w:rPr>
        <w:t xml:space="preserve">We have concentrated </w:t>
      </w:r>
      <w:r w:rsidR="00534B18">
        <w:rPr>
          <w:rFonts w:asciiTheme="minorHAnsi" w:hAnsiTheme="minorHAnsi" w:cstheme="minorHAnsi"/>
        </w:rPr>
        <w:t xml:space="preserve">in this submission </w:t>
      </w:r>
      <w:r w:rsidRPr="00534B18">
        <w:rPr>
          <w:rFonts w:asciiTheme="minorHAnsi" w:hAnsiTheme="minorHAnsi" w:cstheme="minorHAnsi"/>
        </w:rPr>
        <w:t>on changes in the nature of ‘early intervention’ services available to Māori (and other New Zealanders) and changes in the education system for two reasons. Firstly, the services changes in mental health care mooted by us are being actively explored by the Ministry of Health’s Fit for the Future initiative</w:t>
      </w:r>
      <w:r w:rsidRPr="00534B18">
        <w:rPr>
          <w:rStyle w:val="FootnoteReference"/>
          <w:rFonts w:asciiTheme="minorHAnsi" w:hAnsiTheme="minorHAnsi" w:cstheme="minorHAnsi"/>
        </w:rPr>
        <w:footnoteReference w:id="37"/>
      </w:r>
      <w:r w:rsidRPr="00534B18">
        <w:rPr>
          <w:rFonts w:asciiTheme="minorHAnsi" w:hAnsiTheme="minorHAnsi" w:cstheme="minorHAnsi"/>
        </w:rPr>
        <w:t xml:space="preserve"> and we should expect researched outcomes from this</w:t>
      </w:r>
      <w:r w:rsidR="00534B18">
        <w:rPr>
          <w:rFonts w:asciiTheme="minorHAnsi" w:hAnsiTheme="minorHAnsi" w:cstheme="minorHAnsi"/>
        </w:rPr>
        <w:t xml:space="preserve"> in the short term</w:t>
      </w:r>
      <w:r w:rsidRPr="00534B18">
        <w:rPr>
          <w:rFonts w:asciiTheme="minorHAnsi" w:hAnsiTheme="minorHAnsi" w:cstheme="minorHAnsi"/>
        </w:rPr>
        <w:t>. Secondly, the other way to intervene early</w:t>
      </w:r>
      <w:r w:rsidR="00534B18">
        <w:rPr>
          <w:rFonts w:asciiTheme="minorHAnsi" w:hAnsiTheme="minorHAnsi" w:cstheme="minorHAnsi"/>
        </w:rPr>
        <w:t xml:space="preserve"> on</w:t>
      </w:r>
      <w:r w:rsidRPr="00534B18">
        <w:rPr>
          <w:rFonts w:asciiTheme="minorHAnsi" w:hAnsiTheme="minorHAnsi" w:cstheme="minorHAnsi"/>
        </w:rPr>
        <w:t xml:space="preserve"> in the life course is via education, another sector undergoing major change by this </w:t>
      </w:r>
      <w:r w:rsidR="00534B18">
        <w:rPr>
          <w:rFonts w:asciiTheme="minorHAnsi" w:hAnsiTheme="minorHAnsi" w:cstheme="minorHAnsi"/>
        </w:rPr>
        <w:t>recently</w:t>
      </w:r>
      <w:r w:rsidRPr="00534B18">
        <w:rPr>
          <w:rFonts w:asciiTheme="minorHAnsi" w:hAnsiTheme="minorHAnsi" w:cstheme="minorHAnsi"/>
        </w:rPr>
        <w:t xml:space="preserve"> new Government. </w:t>
      </w:r>
      <w:r w:rsidR="00534B18">
        <w:rPr>
          <w:rFonts w:asciiTheme="minorHAnsi" w:hAnsiTheme="minorHAnsi" w:cstheme="minorHAnsi"/>
        </w:rPr>
        <w:t xml:space="preserve">Wee seek to take advantage of that changing sector as well. </w:t>
      </w:r>
      <w:r w:rsidRPr="00534B18">
        <w:rPr>
          <w:rFonts w:asciiTheme="minorHAnsi" w:hAnsiTheme="minorHAnsi" w:cstheme="minorHAnsi"/>
        </w:rPr>
        <w:t xml:space="preserve">This concentration on these two elements is not to suggest that welfare, housing, economic development, justice and other </w:t>
      </w:r>
      <w:r w:rsidR="00534B18" w:rsidRPr="00534B18">
        <w:rPr>
          <w:rFonts w:asciiTheme="minorHAnsi" w:hAnsiTheme="minorHAnsi" w:cstheme="minorHAnsi"/>
        </w:rPr>
        <w:t>elements of the New Zealand landscape do not need similar attention.</w:t>
      </w:r>
    </w:p>
    <w:p w14:paraId="14A02A1B" w14:textId="77777777" w:rsidR="00534B18" w:rsidRPr="00534B18" w:rsidRDefault="00534B18" w:rsidP="00534B18">
      <w:pPr>
        <w:spacing w:line="276" w:lineRule="auto"/>
        <w:rPr>
          <w:rFonts w:asciiTheme="minorHAnsi" w:hAnsiTheme="minorHAnsi" w:cstheme="minorHAnsi"/>
        </w:rPr>
      </w:pPr>
    </w:p>
    <w:p w14:paraId="33C89981" w14:textId="196B18A5" w:rsidR="00534B18" w:rsidRDefault="00534B18" w:rsidP="00534B18">
      <w:pPr>
        <w:spacing w:line="276" w:lineRule="auto"/>
        <w:rPr>
          <w:rFonts w:asciiTheme="minorHAnsi" w:hAnsiTheme="minorHAnsi" w:cstheme="minorHAnsi"/>
        </w:rPr>
      </w:pPr>
      <w:r w:rsidRPr="00534B18">
        <w:rPr>
          <w:rFonts w:asciiTheme="minorHAnsi" w:hAnsiTheme="minorHAnsi" w:cstheme="minorHAnsi"/>
        </w:rPr>
        <w:t xml:space="preserve">We thank the Mental Health and Addiction Inquiry team for their attention to </w:t>
      </w:r>
      <w:r w:rsidR="00E44FE5">
        <w:rPr>
          <w:rFonts w:asciiTheme="minorHAnsi" w:hAnsiTheme="minorHAnsi" w:cstheme="minorHAnsi"/>
        </w:rPr>
        <w:t>this piece of work and wish you</w:t>
      </w:r>
      <w:r w:rsidRPr="00534B18">
        <w:rPr>
          <w:rFonts w:asciiTheme="minorHAnsi" w:hAnsiTheme="minorHAnsi" w:cstheme="minorHAnsi"/>
        </w:rPr>
        <w:t xml:space="preserve"> well.</w:t>
      </w:r>
    </w:p>
    <w:p w14:paraId="3C9D2D36" w14:textId="77777777" w:rsidR="00E44FE5" w:rsidRDefault="00E44FE5" w:rsidP="00534B18">
      <w:pPr>
        <w:spacing w:line="276" w:lineRule="auto"/>
        <w:rPr>
          <w:rFonts w:asciiTheme="minorHAnsi" w:hAnsiTheme="minorHAnsi" w:cstheme="minorHAnsi"/>
        </w:rPr>
      </w:pPr>
    </w:p>
    <w:p w14:paraId="74DC3E17" w14:textId="7DE40008" w:rsidR="00E44FE5" w:rsidRDefault="00E44FE5" w:rsidP="00534B18">
      <w:pPr>
        <w:spacing w:line="276" w:lineRule="auto"/>
        <w:rPr>
          <w:rFonts w:asciiTheme="minorHAnsi" w:hAnsiTheme="minorHAnsi" w:cstheme="minorHAnsi"/>
        </w:rPr>
      </w:pPr>
      <w:proofErr w:type="spellStart"/>
      <w:r>
        <w:rPr>
          <w:rFonts w:asciiTheme="minorHAnsi" w:hAnsiTheme="minorHAnsi" w:cstheme="minorHAnsi"/>
        </w:rPr>
        <w:t>Ngā</w:t>
      </w:r>
      <w:proofErr w:type="spellEnd"/>
      <w:r>
        <w:rPr>
          <w:rFonts w:asciiTheme="minorHAnsi" w:hAnsiTheme="minorHAnsi" w:cstheme="minorHAnsi"/>
        </w:rPr>
        <w:t xml:space="preserve"> </w:t>
      </w:r>
      <w:proofErr w:type="spellStart"/>
      <w:r>
        <w:rPr>
          <w:rFonts w:asciiTheme="minorHAnsi" w:hAnsiTheme="minorHAnsi" w:cstheme="minorHAnsi"/>
        </w:rPr>
        <w:t>maanakitanga</w:t>
      </w:r>
      <w:proofErr w:type="spellEnd"/>
    </w:p>
    <w:p w14:paraId="59C40B42" w14:textId="77777777" w:rsidR="00600598" w:rsidRDefault="00600598" w:rsidP="00534B18">
      <w:pPr>
        <w:spacing w:line="276" w:lineRule="auto"/>
        <w:rPr>
          <w:rFonts w:asciiTheme="minorHAnsi" w:hAnsiTheme="minorHAnsi" w:cstheme="minorHAnsi"/>
        </w:rPr>
      </w:pPr>
    </w:p>
    <w:p w14:paraId="50F0DA69" w14:textId="2A243252" w:rsidR="00600598" w:rsidRDefault="00600598" w:rsidP="00534B18">
      <w:pPr>
        <w:spacing w:line="276" w:lineRule="auto"/>
        <w:rPr>
          <w:rFonts w:asciiTheme="minorHAnsi" w:hAnsiTheme="minorHAnsi" w:cstheme="minorHAnsi"/>
        </w:rPr>
      </w:pPr>
      <w:proofErr w:type="spellStart"/>
      <w:r>
        <w:rPr>
          <w:rFonts w:asciiTheme="minorHAnsi" w:hAnsiTheme="minorHAnsi" w:cstheme="minorHAnsi"/>
        </w:rPr>
        <w:t>Nāhaku</w:t>
      </w:r>
      <w:proofErr w:type="spellEnd"/>
      <w:r>
        <w:rPr>
          <w:rFonts w:asciiTheme="minorHAnsi" w:hAnsiTheme="minorHAnsi" w:cstheme="minorHAnsi"/>
        </w:rPr>
        <w:t xml:space="preserve"> </w:t>
      </w:r>
      <w:proofErr w:type="spellStart"/>
      <w:r>
        <w:rPr>
          <w:rFonts w:asciiTheme="minorHAnsi" w:hAnsiTheme="minorHAnsi" w:cstheme="minorHAnsi"/>
        </w:rPr>
        <w:t>noa</w:t>
      </w:r>
      <w:proofErr w:type="spellEnd"/>
      <w:r>
        <w:rPr>
          <w:rFonts w:asciiTheme="minorHAnsi" w:hAnsiTheme="minorHAnsi" w:cstheme="minorHAnsi"/>
        </w:rPr>
        <w:t xml:space="preserve">, </w:t>
      </w:r>
      <w:proofErr w:type="spellStart"/>
      <w:r>
        <w:rPr>
          <w:rFonts w:asciiTheme="minorHAnsi" w:hAnsiTheme="minorHAnsi" w:cstheme="minorHAnsi"/>
        </w:rPr>
        <w:t>nā</w:t>
      </w:r>
      <w:proofErr w:type="spellEnd"/>
    </w:p>
    <w:p w14:paraId="33BB7A8A" w14:textId="77777777" w:rsidR="00600598" w:rsidRDefault="00600598" w:rsidP="00534B18">
      <w:pPr>
        <w:spacing w:line="276" w:lineRule="auto"/>
        <w:rPr>
          <w:rFonts w:asciiTheme="minorHAnsi" w:hAnsiTheme="minorHAnsi" w:cstheme="minorHAnsi"/>
        </w:rPr>
      </w:pPr>
    </w:p>
    <w:p w14:paraId="7C5BC663" w14:textId="33420D9D" w:rsidR="00600598" w:rsidRDefault="00600598" w:rsidP="00534B18">
      <w:pPr>
        <w:spacing w:line="276" w:lineRule="auto"/>
        <w:rPr>
          <w:rFonts w:asciiTheme="minorHAnsi" w:hAnsiTheme="minorHAnsi" w:cstheme="minorHAnsi"/>
        </w:rPr>
      </w:pPr>
      <w:r>
        <w:rPr>
          <w:rFonts w:asciiTheme="minorHAnsi" w:hAnsiTheme="minorHAnsi" w:cstheme="minorHAnsi"/>
        </w:rPr>
        <w:t>David Tipene-Leach</w:t>
      </w:r>
    </w:p>
    <w:p w14:paraId="67D6B747" w14:textId="77777777" w:rsidR="00600598" w:rsidRDefault="00600598" w:rsidP="00534B18">
      <w:pPr>
        <w:spacing w:line="276" w:lineRule="auto"/>
        <w:rPr>
          <w:rFonts w:asciiTheme="minorHAnsi" w:hAnsiTheme="minorHAnsi" w:cstheme="minorHAnsi"/>
        </w:rPr>
      </w:pPr>
    </w:p>
    <w:p w14:paraId="08110C51" w14:textId="11122F75" w:rsidR="00600598" w:rsidRDefault="00600598" w:rsidP="00534B18">
      <w:pPr>
        <w:spacing w:line="276" w:lineRule="auto"/>
        <w:rPr>
          <w:rFonts w:asciiTheme="minorHAnsi" w:hAnsiTheme="minorHAnsi" w:cstheme="minorHAnsi"/>
        </w:rPr>
      </w:pPr>
      <w:r>
        <w:rPr>
          <w:rFonts w:asciiTheme="minorHAnsi" w:hAnsiTheme="minorHAnsi" w:cstheme="minorHAnsi"/>
        </w:rPr>
        <w:t>Chair, Te ORA</w:t>
      </w:r>
    </w:p>
    <w:p w14:paraId="4A8A474B" w14:textId="77777777" w:rsidR="00E44FE5" w:rsidRDefault="00E44FE5" w:rsidP="00534B18">
      <w:pPr>
        <w:spacing w:line="276" w:lineRule="auto"/>
        <w:rPr>
          <w:rFonts w:asciiTheme="minorHAnsi" w:hAnsiTheme="minorHAnsi" w:cstheme="minorHAnsi"/>
        </w:rPr>
      </w:pPr>
    </w:p>
    <w:p w14:paraId="35DDD340" w14:textId="77777777" w:rsidR="00E44FE5" w:rsidRPr="00534B18" w:rsidRDefault="00E44FE5" w:rsidP="00534B18">
      <w:pPr>
        <w:spacing w:line="276" w:lineRule="auto"/>
        <w:rPr>
          <w:rFonts w:asciiTheme="minorHAnsi" w:hAnsiTheme="minorHAnsi" w:cstheme="minorHAnsi"/>
        </w:rPr>
      </w:pPr>
    </w:p>
    <w:p w14:paraId="065998B2" w14:textId="5DB56230" w:rsidR="00532758" w:rsidRPr="002B62A9" w:rsidRDefault="00532758" w:rsidP="002B62A9">
      <w:pPr>
        <w:autoSpaceDE w:val="0"/>
        <w:autoSpaceDN w:val="0"/>
        <w:adjustRightInd w:val="0"/>
        <w:ind w:left="360"/>
        <w:rPr>
          <w:rFonts w:cstheme="minorHAnsi"/>
          <w:lang w:val="en-US"/>
        </w:rPr>
      </w:pPr>
    </w:p>
    <w:p w14:paraId="0132FA69" w14:textId="7CAD3531" w:rsidR="00532758" w:rsidRPr="00B231EF" w:rsidRDefault="00532758" w:rsidP="00B231EF">
      <w:pPr>
        <w:autoSpaceDE w:val="0"/>
        <w:autoSpaceDN w:val="0"/>
        <w:adjustRightInd w:val="0"/>
        <w:spacing w:line="276" w:lineRule="auto"/>
        <w:rPr>
          <w:rFonts w:asciiTheme="minorHAnsi" w:hAnsiTheme="minorHAnsi" w:cstheme="minorHAnsi"/>
        </w:rPr>
      </w:pPr>
    </w:p>
    <w:p w14:paraId="2180998D" w14:textId="1187ECEC" w:rsidR="004D5E58" w:rsidRPr="00B231EF" w:rsidRDefault="004D5E58" w:rsidP="00B231EF">
      <w:pPr>
        <w:spacing w:line="276" w:lineRule="auto"/>
        <w:rPr>
          <w:rFonts w:asciiTheme="minorHAnsi" w:hAnsiTheme="minorHAnsi" w:cstheme="minorHAnsi"/>
        </w:rPr>
      </w:pPr>
      <w:r w:rsidRPr="00B231EF">
        <w:rPr>
          <w:rFonts w:asciiTheme="minorHAnsi" w:hAnsiTheme="minorHAnsi" w:cstheme="minorHAnsi"/>
        </w:rPr>
        <w:t xml:space="preserve"> </w:t>
      </w:r>
    </w:p>
    <w:p w14:paraId="1E5BB63C" w14:textId="77777777" w:rsidR="004D5E58" w:rsidRPr="00B231EF" w:rsidRDefault="004D5E58" w:rsidP="00B231EF">
      <w:pPr>
        <w:spacing w:line="276" w:lineRule="auto"/>
        <w:rPr>
          <w:rFonts w:asciiTheme="minorHAnsi" w:hAnsiTheme="minorHAnsi" w:cstheme="minorHAnsi"/>
        </w:rPr>
      </w:pPr>
    </w:p>
    <w:p w14:paraId="6419DB9B" w14:textId="77777777" w:rsidR="004D5E58" w:rsidRPr="004D5E58" w:rsidRDefault="004D5E58" w:rsidP="00B231EF">
      <w:pPr>
        <w:spacing w:line="276" w:lineRule="auto"/>
        <w:rPr>
          <w:rFonts w:asciiTheme="minorHAnsi" w:hAnsiTheme="minorHAnsi" w:cstheme="minorHAnsi"/>
        </w:rPr>
      </w:pPr>
    </w:p>
    <w:p w14:paraId="3F6ADB90" w14:textId="77777777" w:rsidR="004D5E58" w:rsidRPr="00B231EF" w:rsidRDefault="004D5E58" w:rsidP="00B231EF">
      <w:pPr>
        <w:spacing w:line="276" w:lineRule="auto"/>
        <w:rPr>
          <w:rFonts w:asciiTheme="minorHAnsi" w:hAnsiTheme="minorHAnsi" w:cstheme="minorHAnsi"/>
        </w:rPr>
      </w:pPr>
    </w:p>
    <w:p w14:paraId="47ECC8F1" w14:textId="77777777" w:rsidR="001466F0" w:rsidRPr="00B231EF" w:rsidRDefault="001466F0" w:rsidP="00B231EF">
      <w:pPr>
        <w:spacing w:line="276" w:lineRule="auto"/>
        <w:rPr>
          <w:rFonts w:asciiTheme="minorHAnsi" w:hAnsiTheme="minorHAnsi" w:cstheme="minorHAnsi"/>
        </w:rPr>
      </w:pPr>
    </w:p>
    <w:p w14:paraId="61E59F2A" w14:textId="77777777" w:rsidR="001466F0" w:rsidRPr="00B231EF" w:rsidRDefault="001466F0" w:rsidP="00B231EF">
      <w:pPr>
        <w:spacing w:line="276" w:lineRule="auto"/>
        <w:rPr>
          <w:rFonts w:asciiTheme="minorHAnsi" w:hAnsiTheme="minorHAnsi" w:cstheme="minorHAnsi"/>
        </w:rPr>
      </w:pPr>
    </w:p>
    <w:p w14:paraId="6CA5AA30" w14:textId="77777777" w:rsidR="00E31384" w:rsidRPr="00B231EF" w:rsidRDefault="00E31384" w:rsidP="00B231EF">
      <w:pPr>
        <w:spacing w:line="276" w:lineRule="auto"/>
        <w:rPr>
          <w:rFonts w:asciiTheme="minorHAnsi" w:hAnsiTheme="minorHAnsi" w:cstheme="minorHAnsi"/>
        </w:rPr>
      </w:pPr>
    </w:p>
    <w:p w14:paraId="28142355" w14:textId="77777777" w:rsidR="00186027" w:rsidRPr="00B231EF" w:rsidRDefault="00186027" w:rsidP="00B231EF">
      <w:pPr>
        <w:spacing w:line="276" w:lineRule="auto"/>
        <w:rPr>
          <w:rFonts w:asciiTheme="minorHAnsi" w:hAnsiTheme="minorHAnsi" w:cstheme="minorHAnsi"/>
        </w:rPr>
      </w:pPr>
    </w:p>
    <w:p w14:paraId="1FA1624D" w14:textId="42023355" w:rsidR="0062089E" w:rsidRPr="00B231EF" w:rsidRDefault="00FD430F" w:rsidP="00B231EF">
      <w:pPr>
        <w:spacing w:line="276" w:lineRule="auto"/>
        <w:rPr>
          <w:rFonts w:asciiTheme="minorHAnsi" w:hAnsiTheme="minorHAnsi" w:cstheme="minorHAnsi"/>
        </w:rPr>
      </w:pPr>
    </w:p>
    <w:sectPr w:rsidR="0062089E" w:rsidRPr="00B231EF" w:rsidSect="001D5D9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E369F" w14:textId="77777777" w:rsidR="00D2515F" w:rsidRDefault="00D2515F" w:rsidP="008F4A49">
      <w:r>
        <w:separator/>
      </w:r>
    </w:p>
  </w:endnote>
  <w:endnote w:type="continuationSeparator" w:id="0">
    <w:p w14:paraId="17528F7C" w14:textId="77777777" w:rsidR="00D2515F" w:rsidRDefault="00D2515F" w:rsidP="008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92Yˇ">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92E3A" w14:textId="77777777" w:rsidR="00D2515F" w:rsidRDefault="00D2515F" w:rsidP="008F4A49">
      <w:r>
        <w:separator/>
      </w:r>
    </w:p>
  </w:footnote>
  <w:footnote w:type="continuationSeparator" w:id="0">
    <w:p w14:paraId="2080959D" w14:textId="77777777" w:rsidR="00D2515F" w:rsidRDefault="00D2515F" w:rsidP="008F4A49">
      <w:r>
        <w:continuationSeparator/>
      </w:r>
    </w:p>
  </w:footnote>
  <w:footnote w:id="1">
    <w:p w14:paraId="425E9D39" w14:textId="77777777" w:rsidR="00A1308C" w:rsidRPr="008D1055" w:rsidRDefault="00A1308C" w:rsidP="00A1308C">
      <w:pPr>
        <w:pStyle w:val="FootnoteText"/>
        <w:rPr>
          <w:lang w:val="mi-NZ"/>
        </w:rPr>
      </w:pPr>
      <w:r>
        <w:rPr>
          <w:rStyle w:val="FootnoteReference"/>
        </w:rPr>
        <w:footnoteRef/>
      </w:r>
      <w:r>
        <w:t xml:space="preserve"> </w:t>
      </w:r>
      <w:r w:rsidRPr="00B767F7">
        <w:rPr>
          <w:rFonts w:ascii="Calibri" w:hAnsi="Calibri"/>
          <w:sz w:val="16"/>
          <w:szCs w:val="16"/>
        </w:rPr>
        <w:t xml:space="preserve">Durie M. </w:t>
      </w:r>
      <w:proofErr w:type="spellStart"/>
      <w:r w:rsidRPr="00B767F7">
        <w:rPr>
          <w:rFonts w:ascii="Calibri" w:hAnsi="Calibri"/>
          <w:sz w:val="16"/>
          <w:szCs w:val="16"/>
        </w:rPr>
        <w:t>Nga</w:t>
      </w:r>
      <w:proofErr w:type="spellEnd"/>
      <w:r w:rsidRPr="00B767F7">
        <w:rPr>
          <w:rFonts w:ascii="Calibri" w:hAnsi="Calibri"/>
          <w:sz w:val="16"/>
          <w:szCs w:val="16"/>
        </w:rPr>
        <w:t xml:space="preserve"> Tau </w:t>
      </w:r>
      <w:proofErr w:type="spellStart"/>
      <w:r w:rsidRPr="00B767F7">
        <w:rPr>
          <w:rFonts w:ascii="Calibri" w:hAnsi="Calibri"/>
          <w:sz w:val="16"/>
          <w:szCs w:val="16"/>
        </w:rPr>
        <w:t>Hekenga</w:t>
      </w:r>
      <w:proofErr w:type="spellEnd"/>
      <w:r w:rsidRPr="00B767F7">
        <w:rPr>
          <w:rFonts w:ascii="Calibri" w:hAnsi="Calibri"/>
          <w:sz w:val="16"/>
          <w:szCs w:val="16"/>
        </w:rPr>
        <w:t xml:space="preserve">: Depopulation, Disease and </w:t>
      </w:r>
      <w:proofErr w:type="spellStart"/>
      <w:r w:rsidRPr="00B767F7">
        <w:rPr>
          <w:rFonts w:ascii="Calibri" w:hAnsi="Calibri"/>
          <w:sz w:val="16"/>
          <w:szCs w:val="16"/>
        </w:rPr>
        <w:t>Dispossesion</w:t>
      </w:r>
      <w:proofErr w:type="spellEnd"/>
      <w:r w:rsidRPr="00B767F7">
        <w:rPr>
          <w:rFonts w:ascii="Calibri" w:hAnsi="Calibri"/>
          <w:sz w:val="16"/>
          <w:szCs w:val="16"/>
        </w:rPr>
        <w:t xml:space="preserve">. </w:t>
      </w:r>
      <w:proofErr w:type="spellStart"/>
      <w:r w:rsidRPr="00B767F7">
        <w:rPr>
          <w:rFonts w:ascii="Calibri" w:hAnsi="Calibri"/>
          <w:sz w:val="16"/>
          <w:szCs w:val="16"/>
        </w:rPr>
        <w:t>Whaiora</w:t>
      </w:r>
      <w:proofErr w:type="spellEnd"/>
      <w:r w:rsidRPr="00B767F7">
        <w:rPr>
          <w:rFonts w:ascii="Calibri" w:hAnsi="Calibri"/>
          <w:sz w:val="16"/>
          <w:szCs w:val="16"/>
        </w:rPr>
        <w:t xml:space="preserve">: </w:t>
      </w:r>
      <w:proofErr w:type="spellStart"/>
      <w:r w:rsidRPr="00B767F7">
        <w:rPr>
          <w:rFonts w:ascii="Calibri" w:hAnsi="Calibri"/>
          <w:sz w:val="16"/>
          <w:szCs w:val="16"/>
        </w:rPr>
        <w:t>Maōri</w:t>
      </w:r>
      <w:proofErr w:type="spellEnd"/>
      <w:r w:rsidRPr="00B767F7">
        <w:rPr>
          <w:rFonts w:ascii="Calibri" w:hAnsi="Calibri"/>
          <w:sz w:val="16"/>
          <w:szCs w:val="16"/>
        </w:rPr>
        <w:t xml:space="preserve"> health development. 2nd ed.: Oxford University Press; 1998. p. 26-40.</w:t>
      </w:r>
    </w:p>
  </w:footnote>
  <w:footnote w:id="2">
    <w:p w14:paraId="0364A2CA" w14:textId="4B6A29A8" w:rsidR="00A1308C" w:rsidRPr="00A1308C" w:rsidRDefault="00A1308C">
      <w:pPr>
        <w:pStyle w:val="FootnoteText"/>
        <w:rPr>
          <w:lang w:val="mi-NZ"/>
        </w:rPr>
      </w:pPr>
      <w:r>
        <w:rPr>
          <w:rStyle w:val="FootnoteReference"/>
        </w:rPr>
        <w:footnoteRef/>
      </w:r>
      <w:r>
        <w:t xml:space="preserve"> </w:t>
      </w:r>
      <w:r w:rsidRPr="00A1308C">
        <w:rPr>
          <w:rFonts w:ascii="Calibri" w:hAnsi="Calibri"/>
          <w:sz w:val="16"/>
          <w:szCs w:val="16"/>
        </w:rPr>
        <w:t xml:space="preserve">Reid P, Robson B. Understanding Health Inequities. In: Robson B, Harris R, editors. Maori Standards of Health IV: A study of the years 2000-2005. 1st ed. Wellington, NZ: Te </w:t>
      </w:r>
      <w:proofErr w:type="spellStart"/>
      <w:r w:rsidRPr="00A1308C">
        <w:rPr>
          <w:rFonts w:ascii="Calibri" w:hAnsi="Calibri"/>
          <w:sz w:val="16"/>
          <w:szCs w:val="16"/>
        </w:rPr>
        <w:t>Röpü</w:t>
      </w:r>
      <w:proofErr w:type="spellEnd"/>
      <w:r w:rsidRPr="00A1308C">
        <w:rPr>
          <w:rFonts w:ascii="Calibri" w:hAnsi="Calibri"/>
          <w:sz w:val="16"/>
          <w:szCs w:val="16"/>
        </w:rPr>
        <w:t xml:space="preserve"> </w:t>
      </w:r>
      <w:proofErr w:type="spellStart"/>
      <w:r w:rsidRPr="00A1308C">
        <w:rPr>
          <w:rFonts w:ascii="Calibri" w:hAnsi="Calibri"/>
          <w:sz w:val="16"/>
          <w:szCs w:val="16"/>
        </w:rPr>
        <w:t>Rangahau</w:t>
      </w:r>
      <w:proofErr w:type="spellEnd"/>
      <w:r w:rsidRPr="00A1308C">
        <w:rPr>
          <w:rFonts w:ascii="Calibri" w:hAnsi="Calibri"/>
          <w:sz w:val="16"/>
          <w:szCs w:val="16"/>
        </w:rPr>
        <w:t xml:space="preserve"> Hauora a </w:t>
      </w:r>
      <w:proofErr w:type="spellStart"/>
      <w:r w:rsidRPr="00A1308C">
        <w:rPr>
          <w:rFonts w:ascii="Calibri" w:hAnsi="Calibri"/>
          <w:sz w:val="16"/>
          <w:szCs w:val="16"/>
        </w:rPr>
        <w:t>Eru</w:t>
      </w:r>
      <w:proofErr w:type="spellEnd"/>
      <w:r w:rsidRPr="00A1308C">
        <w:rPr>
          <w:rFonts w:ascii="Calibri" w:hAnsi="Calibri"/>
          <w:sz w:val="16"/>
          <w:szCs w:val="16"/>
        </w:rPr>
        <w:t xml:space="preserve"> </w:t>
      </w:r>
      <w:proofErr w:type="spellStart"/>
      <w:r w:rsidRPr="00A1308C">
        <w:rPr>
          <w:rFonts w:ascii="Calibri" w:hAnsi="Calibri"/>
          <w:sz w:val="16"/>
          <w:szCs w:val="16"/>
        </w:rPr>
        <w:t>Pömare</w:t>
      </w:r>
      <w:proofErr w:type="spellEnd"/>
      <w:r w:rsidRPr="00A1308C">
        <w:rPr>
          <w:rFonts w:ascii="Calibri" w:hAnsi="Calibri"/>
          <w:sz w:val="16"/>
          <w:szCs w:val="16"/>
        </w:rPr>
        <w:t>; 2007. p. 3-10.</w:t>
      </w:r>
    </w:p>
  </w:footnote>
  <w:footnote w:id="3">
    <w:p w14:paraId="6F5912F0" w14:textId="71419D79" w:rsidR="00B7084C" w:rsidRPr="00B7084C" w:rsidRDefault="00B7084C">
      <w:pPr>
        <w:pStyle w:val="FootnoteText"/>
        <w:rPr>
          <w:lang w:val="mi-NZ"/>
        </w:rPr>
      </w:pPr>
      <w:r>
        <w:rPr>
          <w:rStyle w:val="FootnoteReference"/>
        </w:rPr>
        <w:footnoteRef/>
      </w:r>
      <w:r>
        <w:t xml:space="preserve"> </w:t>
      </w:r>
      <w:r w:rsidRPr="00B7084C">
        <w:rPr>
          <w:rFonts w:ascii="Calibri" w:hAnsi="Calibri"/>
          <w:sz w:val="16"/>
          <w:szCs w:val="16"/>
        </w:rPr>
        <w:t>Allen J, Balfour R, Bell R, Marmot M. Social determinants of mental health. International Review of Psychiatry 2014;26(4):392-407.</w:t>
      </w:r>
    </w:p>
  </w:footnote>
  <w:footnote w:id="4">
    <w:p w14:paraId="7C814BBD" w14:textId="77777777" w:rsidR="008F4A49" w:rsidRPr="001B77FB" w:rsidRDefault="008F4A49" w:rsidP="006B1026">
      <w:pPr>
        <w:rPr>
          <w:rFonts w:ascii="Helvetica" w:hAnsi="Helvetica"/>
          <w:sz w:val="12"/>
          <w:szCs w:val="12"/>
        </w:rPr>
      </w:pPr>
      <w:r w:rsidRPr="00FD7C3F">
        <w:rPr>
          <w:rStyle w:val="FootnoteReference"/>
          <w:rFonts w:asciiTheme="minorHAnsi" w:hAnsiTheme="minorHAnsi" w:cstheme="minorHAnsi"/>
        </w:rPr>
        <w:footnoteRef/>
      </w:r>
      <w:r w:rsidRPr="00FD7C3F">
        <w:rPr>
          <w:rFonts w:asciiTheme="minorHAnsi" w:hAnsiTheme="minorHAnsi" w:cstheme="minorHAnsi"/>
        </w:rPr>
        <w:t xml:space="preserve"> </w:t>
      </w:r>
      <w:r w:rsidRPr="001B77FB">
        <w:rPr>
          <w:rFonts w:asciiTheme="minorHAnsi" w:hAnsiTheme="minorHAnsi"/>
          <w:sz w:val="16"/>
          <w:szCs w:val="16"/>
        </w:rPr>
        <w:t>Baxter J, Kokaua J, Wells JE, et al. Ethnic comparisons of the 12-month prevalence of mental disorders and treatment contact in Te Rau Hinengaro: The New Zealand Mental Health Survey. Australian and New Zealand Journal of Psychiatry. 2006; 40(10):905–13.</w:t>
      </w:r>
    </w:p>
  </w:footnote>
  <w:footnote w:id="5">
    <w:p w14:paraId="07439D1B" w14:textId="77777777" w:rsidR="008F4A49" w:rsidRPr="00397205" w:rsidRDefault="008F4A49" w:rsidP="006B1026">
      <w:pPr>
        <w:pStyle w:val="p1"/>
        <w:rPr>
          <w:rFonts w:ascii="Helvetica" w:hAnsi="Helvetica"/>
          <w:sz w:val="12"/>
          <w:szCs w:val="12"/>
        </w:rPr>
      </w:pPr>
      <w:r w:rsidRPr="001B77FB">
        <w:rPr>
          <w:rStyle w:val="FootnoteReference"/>
          <w:sz w:val="24"/>
          <w:szCs w:val="24"/>
        </w:rPr>
        <w:footnoteRef/>
      </w:r>
      <w:r w:rsidRPr="001B77FB">
        <w:rPr>
          <w:sz w:val="24"/>
          <w:szCs w:val="24"/>
        </w:rPr>
        <w:t xml:space="preserve"> </w:t>
      </w:r>
      <w:r w:rsidRPr="001B77FB">
        <w:rPr>
          <w:rFonts w:asciiTheme="minorHAnsi" w:hAnsiTheme="minorHAnsi"/>
          <w:sz w:val="16"/>
          <w:szCs w:val="16"/>
        </w:rPr>
        <w:t>Bushnell J. Mental Disorders Among Maori Attending Their General Practitioner. Australian &amp; New Zealand Journal of Psychiatry. 2005; 39(5):401–6.</w:t>
      </w:r>
    </w:p>
  </w:footnote>
  <w:footnote w:id="6">
    <w:p w14:paraId="48F085C2" w14:textId="77777777" w:rsidR="00C32518" w:rsidRPr="00397205" w:rsidRDefault="00C32518" w:rsidP="00C32518">
      <w:pPr>
        <w:pStyle w:val="p1"/>
        <w:rPr>
          <w:rFonts w:ascii="Helvetica" w:hAnsi="Helvetica"/>
          <w:sz w:val="12"/>
          <w:szCs w:val="12"/>
        </w:rPr>
      </w:pPr>
      <w:r w:rsidRPr="00397205">
        <w:rPr>
          <w:rStyle w:val="FootnoteReference"/>
          <w:sz w:val="24"/>
          <w:szCs w:val="24"/>
        </w:rPr>
        <w:footnoteRef/>
      </w:r>
      <w:r w:rsidRPr="00397205">
        <w:rPr>
          <w:sz w:val="24"/>
          <w:szCs w:val="24"/>
        </w:rPr>
        <w:t xml:space="preserve"> </w:t>
      </w:r>
      <w:r w:rsidRPr="00397205">
        <w:rPr>
          <w:rFonts w:asciiTheme="minorHAnsi" w:hAnsiTheme="minorHAnsi"/>
          <w:sz w:val="16"/>
          <w:szCs w:val="16"/>
        </w:rPr>
        <w:t>Baxter J, Kingi TK, Tapsell R, et al. Prevalence of mental disorders among Māori in Te Rau Hinengaro: The New Zealand Mental Health Survey. Australian and New Zealand Journal of Psychiatry. 2006; 40(10):914–23</w:t>
      </w:r>
      <w:r w:rsidRPr="00397205">
        <w:rPr>
          <w:rFonts w:ascii="Helvetica" w:hAnsi="Helvetica"/>
          <w:sz w:val="12"/>
          <w:szCs w:val="12"/>
        </w:rPr>
        <w:t>.</w:t>
      </w:r>
    </w:p>
  </w:footnote>
  <w:footnote w:id="7">
    <w:p w14:paraId="5D451F78" w14:textId="6BED1FE3" w:rsidR="00C32518" w:rsidRPr="00C32518" w:rsidRDefault="00C32518">
      <w:pPr>
        <w:pStyle w:val="FootnoteText"/>
        <w:rPr>
          <w:lang w:val="mi-NZ"/>
        </w:rPr>
      </w:pPr>
      <w:r>
        <w:rPr>
          <w:rStyle w:val="FootnoteReference"/>
        </w:rPr>
        <w:footnoteRef/>
      </w:r>
      <w:r>
        <w:t xml:space="preserve"> </w:t>
      </w:r>
      <w:r w:rsidRPr="00397205">
        <w:rPr>
          <w:rFonts w:asciiTheme="minorHAnsi" w:hAnsiTheme="minorHAnsi"/>
          <w:sz w:val="16"/>
          <w:szCs w:val="16"/>
        </w:rPr>
        <w:t xml:space="preserve">Thomas D, </w:t>
      </w:r>
      <w:proofErr w:type="spellStart"/>
      <w:r w:rsidRPr="00397205">
        <w:rPr>
          <w:rFonts w:asciiTheme="minorHAnsi" w:hAnsiTheme="minorHAnsi"/>
          <w:sz w:val="16"/>
          <w:szCs w:val="16"/>
        </w:rPr>
        <w:t>Arlidge</w:t>
      </w:r>
      <w:proofErr w:type="spellEnd"/>
      <w:r w:rsidRPr="00397205">
        <w:rPr>
          <w:rFonts w:asciiTheme="minorHAnsi" w:hAnsiTheme="minorHAnsi"/>
          <w:sz w:val="16"/>
          <w:szCs w:val="16"/>
        </w:rPr>
        <w:t xml:space="preserve"> B, </w:t>
      </w:r>
      <w:proofErr w:type="spellStart"/>
      <w:r w:rsidRPr="00397205">
        <w:rPr>
          <w:rFonts w:asciiTheme="minorHAnsi" w:hAnsiTheme="minorHAnsi"/>
          <w:sz w:val="16"/>
          <w:szCs w:val="16"/>
        </w:rPr>
        <w:t>Arroll</w:t>
      </w:r>
      <w:proofErr w:type="spellEnd"/>
      <w:r w:rsidRPr="00397205">
        <w:rPr>
          <w:rFonts w:asciiTheme="minorHAnsi" w:hAnsiTheme="minorHAnsi"/>
          <w:sz w:val="16"/>
          <w:szCs w:val="16"/>
        </w:rPr>
        <w:t xml:space="preserve"> B, Elder H. General practitioners’ views about diagnosing and treating depression in Maori and non-Maori patients. Journal of Primary Health Care. 2010; 2(3):208–16.</w:t>
      </w:r>
    </w:p>
  </w:footnote>
  <w:footnote w:id="8">
    <w:p w14:paraId="5A2D604C" w14:textId="45F75F57" w:rsidR="009D0D31" w:rsidRPr="00732BD5" w:rsidRDefault="009D0D31" w:rsidP="00732BD5">
      <w:r>
        <w:rPr>
          <w:rStyle w:val="FootnoteReference"/>
        </w:rPr>
        <w:footnoteRef/>
      </w:r>
      <w:r>
        <w:rPr>
          <w:rFonts w:ascii="÷'92Yˇ" w:eastAsiaTheme="minorHAnsi" w:hAnsi="÷'92Yˇ" w:cs="÷'92Yˇ"/>
          <w:sz w:val="18"/>
          <w:szCs w:val="18"/>
          <w:lang w:val="en-US"/>
        </w:rPr>
        <w:t xml:space="preserve"> Scott KM, Marwick JC, Crampton PR. </w:t>
      </w:r>
      <w:proofErr w:type="spellStart"/>
      <w:r>
        <w:rPr>
          <w:rFonts w:ascii="÷'92Yˇ" w:eastAsiaTheme="minorHAnsi" w:hAnsi="÷'92Yˇ" w:cs="÷'92Yˇ"/>
          <w:sz w:val="18"/>
          <w:szCs w:val="18"/>
          <w:lang w:val="en-US"/>
        </w:rPr>
        <w:t>Utilisation</w:t>
      </w:r>
      <w:proofErr w:type="spellEnd"/>
      <w:r>
        <w:rPr>
          <w:rFonts w:ascii="÷'92Yˇ" w:eastAsiaTheme="minorHAnsi" w:hAnsi="÷'92Yˇ" w:cs="÷'92Yˇ"/>
          <w:sz w:val="18"/>
          <w:szCs w:val="18"/>
          <w:lang w:val="en-US"/>
        </w:rPr>
        <w:t xml:space="preserve"> of general practitioner services in New Zealand and its relationship with income, ethnicity, and government subsidy. 2000. Health Service Management</w:t>
      </w:r>
      <w:r w:rsidRPr="00E4566B">
        <w:rPr>
          <w:rFonts w:ascii="Arial" w:hAnsi="Arial" w:cs="Arial"/>
          <w:color w:val="000000"/>
          <w:sz w:val="17"/>
          <w:szCs w:val="17"/>
          <w:shd w:val="clear" w:color="auto" w:fill="FFFFFF"/>
        </w:rPr>
        <w:t xml:space="preserve"> </w:t>
      </w:r>
      <w:r>
        <w:rPr>
          <w:rFonts w:ascii="Arial" w:hAnsi="Arial" w:cs="Arial"/>
          <w:color w:val="000000"/>
          <w:sz w:val="17"/>
          <w:szCs w:val="17"/>
          <w:shd w:val="clear" w:color="auto" w:fill="FFFFFF"/>
        </w:rPr>
        <w:t>2003;16(1):45-55.</w:t>
      </w:r>
    </w:p>
  </w:footnote>
  <w:footnote w:id="9">
    <w:p w14:paraId="19D439D9" w14:textId="77777777" w:rsidR="009D0D31" w:rsidRPr="009D0D31" w:rsidRDefault="009D0D31" w:rsidP="009D0D31">
      <w:pPr>
        <w:autoSpaceDE w:val="0"/>
        <w:autoSpaceDN w:val="0"/>
        <w:adjustRightInd w:val="0"/>
        <w:rPr>
          <w:rFonts w:ascii="÷'92Yˇ" w:eastAsiaTheme="minorHAnsi" w:hAnsi="÷'92Yˇ" w:cs="÷'92Yˇ"/>
          <w:sz w:val="18"/>
          <w:szCs w:val="18"/>
          <w:lang w:val="en-US"/>
        </w:rPr>
      </w:pPr>
      <w:r>
        <w:rPr>
          <w:rStyle w:val="FootnoteReference"/>
        </w:rPr>
        <w:footnoteRef/>
      </w:r>
      <w:r>
        <w:t xml:space="preserve"> </w:t>
      </w:r>
      <w:proofErr w:type="spellStart"/>
      <w:r w:rsidRPr="00732BD5">
        <w:rPr>
          <w:rFonts w:asciiTheme="minorHAnsi" w:eastAsiaTheme="minorHAnsi" w:hAnsiTheme="minorHAnsi" w:cs="÷'92Yˇ"/>
          <w:sz w:val="16"/>
          <w:szCs w:val="16"/>
          <w:lang w:val="en-US"/>
        </w:rPr>
        <w:t>Crengle</w:t>
      </w:r>
      <w:proofErr w:type="spellEnd"/>
      <w:r w:rsidRPr="00732BD5">
        <w:rPr>
          <w:rFonts w:asciiTheme="minorHAnsi" w:eastAsiaTheme="minorHAnsi" w:hAnsiTheme="minorHAnsi" w:cs="÷'92Yˇ"/>
          <w:sz w:val="16"/>
          <w:szCs w:val="16"/>
          <w:lang w:val="en-US"/>
        </w:rPr>
        <w:t xml:space="preserve"> S, Lay-Yee R, Davis P, Pearson JA. Comparison of </w:t>
      </w:r>
      <w:proofErr w:type="spellStart"/>
      <w:r w:rsidRPr="00732BD5">
        <w:rPr>
          <w:rFonts w:asciiTheme="minorHAnsi" w:eastAsiaTheme="minorHAnsi" w:hAnsiTheme="minorHAnsi" w:cs="÷'92Yˇ"/>
          <w:sz w:val="16"/>
          <w:szCs w:val="16"/>
          <w:lang w:val="en-US"/>
        </w:rPr>
        <w:t>Mäori</w:t>
      </w:r>
      <w:proofErr w:type="spellEnd"/>
      <w:r w:rsidRPr="00732BD5">
        <w:rPr>
          <w:rFonts w:asciiTheme="minorHAnsi" w:eastAsiaTheme="minorHAnsi" w:hAnsiTheme="minorHAnsi" w:cs="÷'92Yˇ"/>
          <w:sz w:val="16"/>
          <w:szCs w:val="16"/>
          <w:lang w:val="en-US"/>
        </w:rPr>
        <w:t xml:space="preserve"> and non-</w:t>
      </w:r>
      <w:proofErr w:type="spellStart"/>
      <w:r w:rsidRPr="00732BD5">
        <w:rPr>
          <w:rFonts w:asciiTheme="minorHAnsi" w:eastAsiaTheme="minorHAnsi" w:hAnsiTheme="minorHAnsi" w:cs="÷'92Yˇ"/>
          <w:sz w:val="16"/>
          <w:szCs w:val="16"/>
          <w:lang w:val="en-US"/>
        </w:rPr>
        <w:t>Mäori</w:t>
      </w:r>
      <w:proofErr w:type="spellEnd"/>
      <w:r w:rsidRPr="00732BD5">
        <w:rPr>
          <w:rFonts w:asciiTheme="minorHAnsi" w:eastAsiaTheme="minorHAnsi" w:hAnsiTheme="minorHAnsi" w:cs="÷'92Yˇ"/>
          <w:sz w:val="16"/>
          <w:szCs w:val="16"/>
          <w:lang w:val="en-US"/>
        </w:rPr>
        <w:t xml:space="preserve"> patient visits to doctors. </w:t>
      </w:r>
      <w:proofErr w:type="spellStart"/>
      <w:r w:rsidRPr="00732BD5">
        <w:rPr>
          <w:rFonts w:asciiTheme="minorHAnsi" w:eastAsiaTheme="minorHAnsi" w:hAnsiTheme="minorHAnsi" w:cs="÷'92Yˇ"/>
          <w:sz w:val="16"/>
          <w:szCs w:val="16"/>
          <w:lang w:val="en-US"/>
        </w:rPr>
        <w:t>NatMedCa</w:t>
      </w:r>
      <w:proofErr w:type="spellEnd"/>
      <w:r w:rsidRPr="00732BD5">
        <w:rPr>
          <w:rFonts w:asciiTheme="minorHAnsi" w:eastAsiaTheme="minorHAnsi" w:hAnsiTheme="minorHAnsi" w:cs="÷'92Yˇ"/>
          <w:sz w:val="16"/>
          <w:szCs w:val="16"/>
          <w:lang w:val="en-US"/>
        </w:rPr>
        <w:t xml:space="preserve"> Report 6. 2006.</w:t>
      </w:r>
    </w:p>
  </w:footnote>
  <w:footnote w:id="10">
    <w:p w14:paraId="36982539" w14:textId="77777777" w:rsidR="008F4A49" w:rsidRPr="00397205" w:rsidRDefault="008F4A49" w:rsidP="006B1026">
      <w:pPr>
        <w:rPr>
          <w:rFonts w:asciiTheme="minorHAnsi" w:hAnsiTheme="minorHAnsi"/>
          <w:sz w:val="16"/>
          <w:szCs w:val="16"/>
        </w:rPr>
      </w:pPr>
      <w:r w:rsidRPr="00FD7C3F">
        <w:rPr>
          <w:rStyle w:val="FootnoteReference"/>
          <w:rFonts w:asciiTheme="minorHAnsi" w:hAnsiTheme="minorHAnsi" w:cstheme="minorHAnsi"/>
        </w:rPr>
        <w:footnoteRef/>
      </w:r>
      <w:r>
        <w:t xml:space="preserve"> </w:t>
      </w:r>
      <w:r w:rsidRPr="00397205">
        <w:rPr>
          <w:rFonts w:asciiTheme="minorHAnsi" w:hAnsiTheme="minorHAnsi"/>
          <w:sz w:val="16"/>
          <w:szCs w:val="16"/>
        </w:rPr>
        <w:t>Wheeler A, Robinson E, Robinson G. Admissions to acute psychiatric inpatient services in Auckland, New Zealand: a demographic and diagnostic review. The New Zealand Medical Journal. 2005; 118(1226).</w:t>
      </w:r>
    </w:p>
  </w:footnote>
  <w:footnote w:id="11">
    <w:p w14:paraId="5338E3F2" w14:textId="3E35E809" w:rsidR="00C32518" w:rsidRPr="00C32518" w:rsidRDefault="00C32518">
      <w:pPr>
        <w:pStyle w:val="FootnoteText"/>
        <w:rPr>
          <w:lang w:val="mi-NZ"/>
        </w:rPr>
      </w:pPr>
      <w:r>
        <w:rPr>
          <w:rStyle w:val="FootnoteReference"/>
        </w:rPr>
        <w:footnoteRef/>
      </w:r>
      <w:r>
        <w:t xml:space="preserve"> </w:t>
      </w:r>
      <w:r w:rsidRPr="00803250">
        <w:rPr>
          <w:rFonts w:asciiTheme="minorHAnsi" w:hAnsiTheme="minorHAnsi" w:cstheme="minorHAnsi"/>
          <w:webHidden/>
          <w:sz w:val="16"/>
          <w:szCs w:val="16"/>
        </w:rPr>
        <w:t xml:space="preserve">Tapsell R, </w:t>
      </w:r>
      <w:proofErr w:type="spellStart"/>
      <w:r w:rsidRPr="00803250">
        <w:rPr>
          <w:rFonts w:asciiTheme="minorHAnsi" w:hAnsiTheme="minorHAnsi" w:cstheme="minorHAnsi"/>
          <w:webHidden/>
          <w:sz w:val="16"/>
          <w:szCs w:val="16"/>
        </w:rPr>
        <w:t>Hallet</w:t>
      </w:r>
      <w:proofErr w:type="spellEnd"/>
      <w:r w:rsidRPr="00803250">
        <w:rPr>
          <w:rFonts w:asciiTheme="minorHAnsi" w:hAnsiTheme="minorHAnsi" w:cstheme="minorHAnsi"/>
          <w:webHidden/>
          <w:sz w:val="16"/>
          <w:szCs w:val="16"/>
        </w:rPr>
        <w:t xml:space="preserve"> C, </w:t>
      </w:r>
      <w:proofErr w:type="spellStart"/>
      <w:r w:rsidRPr="00803250">
        <w:rPr>
          <w:rFonts w:asciiTheme="minorHAnsi" w:hAnsiTheme="minorHAnsi" w:cstheme="minorHAnsi"/>
          <w:webHidden/>
          <w:sz w:val="16"/>
          <w:szCs w:val="16"/>
        </w:rPr>
        <w:t>Mellsop</w:t>
      </w:r>
      <w:proofErr w:type="spellEnd"/>
      <w:r w:rsidRPr="00803250">
        <w:rPr>
          <w:rFonts w:asciiTheme="minorHAnsi" w:hAnsiTheme="minorHAnsi" w:cstheme="minorHAnsi"/>
          <w:webHidden/>
          <w:sz w:val="16"/>
          <w:szCs w:val="16"/>
        </w:rPr>
        <w:t xml:space="preserve"> G W.  (2017)  The Rate of Mental Health Service Use in New Zealand Analysed by Ethnicity.  Australasian Psychiatry online, </w:t>
      </w:r>
      <w:r w:rsidRPr="00803250">
        <w:rPr>
          <w:rFonts w:asciiTheme="minorHAnsi" w:hAnsiTheme="minorHAnsi" w:cstheme="minorHAnsi"/>
          <w:color w:val="333333"/>
          <w:sz w:val="16"/>
          <w:szCs w:val="16"/>
          <w:lang w:val="en" w:eastAsia="en-NZ"/>
        </w:rPr>
        <w:t xml:space="preserve">July 10, 2017 </w:t>
      </w:r>
      <w:hyperlink r:id="rId1" w:history="1">
        <w:r w:rsidRPr="00803250">
          <w:rPr>
            <w:rFonts w:asciiTheme="minorHAnsi" w:eastAsia="Times New Roman" w:hAnsiTheme="minorHAnsi" w:cstheme="minorHAnsi"/>
            <w:color w:val="006ACC"/>
            <w:sz w:val="16"/>
            <w:szCs w:val="16"/>
            <w:lang w:val="en" w:eastAsia="en-NZ"/>
          </w:rPr>
          <w:t>https://doi.org/10.1177/1039856217715989</w:t>
        </w:r>
      </w:hyperlink>
      <w:r w:rsidRPr="00803250">
        <w:rPr>
          <w:rFonts w:asciiTheme="minorHAnsi" w:hAnsiTheme="minorHAnsi" w:cstheme="minorHAnsi"/>
          <w:webHidden/>
          <w:sz w:val="16"/>
          <w:szCs w:val="16"/>
        </w:rPr>
        <w:t xml:space="preserve"> July 10</w:t>
      </w:r>
    </w:p>
  </w:footnote>
  <w:footnote w:id="12">
    <w:p w14:paraId="05D8D0AE" w14:textId="77777777" w:rsidR="008F4A49" w:rsidRPr="00397205" w:rsidRDefault="008F4A49" w:rsidP="006B1026">
      <w:pPr>
        <w:pStyle w:val="p1"/>
        <w:rPr>
          <w:rFonts w:asciiTheme="minorHAnsi" w:hAnsiTheme="minorHAnsi"/>
          <w:sz w:val="16"/>
          <w:szCs w:val="16"/>
        </w:rPr>
      </w:pPr>
      <w:r w:rsidRPr="00397205">
        <w:rPr>
          <w:rStyle w:val="FootnoteReference"/>
          <w:rFonts w:asciiTheme="minorHAnsi" w:hAnsiTheme="minorHAnsi"/>
          <w:sz w:val="24"/>
          <w:szCs w:val="24"/>
        </w:rPr>
        <w:footnoteRef/>
      </w:r>
      <w:r w:rsidRPr="00397205">
        <w:rPr>
          <w:rFonts w:asciiTheme="minorHAnsi" w:hAnsiTheme="minorHAnsi"/>
          <w:sz w:val="24"/>
          <w:szCs w:val="24"/>
        </w:rPr>
        <w:t xml:space="preserve"> </w:t>
      </w:r>
      <w:r w:rsidRPr="00397205">
        <w:rPr>
          <w:rFonts w:asciiTheme="minorHAnsi" w:hAnsiTheme="minorHAnsi"/>
          <w:sz w:val="16"/>
          <w:szCs w:val="16"/>
        </w:rPr>
        <w:t>Wheeler A, Moyle S, Jansen C, et al. Five-year follow-up of an acute psychiatric admission cohort in Auckland, New Zealand. The New Zealand Medical Journal. 2011; 124(1336).</w:t>
      </w:r>
    </w:p>
  </w:footnote>
  <w:footnote w:id="13">
    <w:p w14:paraId="69CA55EF" w14:textId="77777777" w:rsidR="008F4A49" w:rsidRPr="00397205" w:rsidRDefault="008F4A49" w:rsidP="006B1026">
      <w:pPr>
        <w:pStyle w:val="p1"/>
        <w:rPr>
          <w:rFonts w:ascii="Helvetica" w:hAnsi="Helvetica"/>
          <w:sz w:val="12"/>
          <w:szCs w:val="12"/>
        </w:rPr>
      </w:pPr>
      <w:r w:rsidRPr="00397205">
        <w:rPr>
          <w:rStyle w:val="FootnoteReference"/>
          <w:sz w:val="24"/>
          <w:szCs w:val="24"/>
        </w:rPr>
        <w:footnoteRef/>
      </w:r>
      <w:r>
        <w:t xml:space="preserve"> </w:t>
      </w:r>
      <w:r w:rsidRPr="00397205">
        <w:rPr>
          <w:rFonts w:asciiTheme="minorHAnsi" w:hAnsiTheme="minorHAnsi"/>
          <w:sz w:val="16"/>
          <w:szCs w:val="16"/>
        </w:rPr>
        <w:t>Mental Health Commission. Seclusion in the New Zealand Mental Health Services. Mental Health Commission, Wellington, 2004 .</w:t>
      </w:r>
    </w:p>
  </w:footnote>
  <w:footnote w:id="14">
    <w:p w14:paraId="124FB0E8" w14:textId="77777777" w:rsidR="008F4A49" w:rsidRPr="00B96BAE" w:rsidRDefault="008F4A49" w:rsidP="006B1026">
      <w:pPr>
        <w:pStyle w:val="p1"/>
        <w:rPr>
          <w:rFonts w:asciiTheme="minorHAnsi" w:hAnsiTheme="minorHAnsi"/>
          <w:sz w:val="16"/>
          <w:szCs w:val="16"/>
        </w:rPr>
      </w:pPr>
      <w:r w:rsidRPr="00397205">
        <w:rPr>
          <w:rStyle w:val="FootnoteReference"/>
          <w:rFonts w:asciiTheme="minorHAnsi" w:hAnsiTheme="minorHAnsi"/>
          <w:sz w:val="24"/>
          <w:szCs w:val="24"/>
        </w:rPr>
        <w:footnoteRef/>
      </w:r>
      <w:r w:rsidRPr="00397205">
        <w:rPr>
          <w:rFonts w:asciiTheme="minorHAnsi" w:hAnsiTheme="minorHAnsi"/>
        </w:rPr>
        <w:t xml:space="preserve"> </w:t>
      </w:r>
      <w:proofErr w:type="spellStart"/>
      <w:r w:rsidRPr="00397205">
        <w:rPr>
          <w:rFonts w:asciiTheme="minorHAnsi" w:hAnsiTheme="minorHAnsi"/>
          <w:sz w:val="16"/>
          <w:szCs w:val="16"/>
        </w:rPr>
        <w:t>Easden</w:t>
      </w:r>
      <w:proofErr w:type="spellEnd"/>
      <w:r w:rsidRPr="00397205">
        <w:rPr>
          <w:rFonts w:asciiTheme="minorHAnsi" w:hAnsiTheme="minorHAnsi"/>
          <w:sz w:val="16"/>
          <w:szCs w:val="16"/>
        </w:rPr>
        <w:t xml:space="preserve"> MH, </w:t>
      </w:r>
      <w:proofErr w:type="spellStart"/>
      <w:r w:rsidRPr="00397205">
        <w:rPr>
          <w:rFonts w:asciiTheme="minorHAnsi" w:hAnsiTheme="minorHAnsi"/>
          <w:sz w:val="16"/>
          <w:szCs w:val="16"/>
        </w:rPr>
        <w:t>Sakdalan</w:t>
      </w:r>
      <w:proofErr w:type="spellEnd"/>
      <w:r w:rsidRPr="00397205">
        <w:rPr>
          <w:rFonts w:asciiTheme="minorHAnsi" w:hAnsiTheme="minorHAnsi"/>
          <w:sz w:val="16"/>
          <w:szCs w:val="16"/>
        </w:rPr>
        <w:t xml:space="preserve"> JA. Clinical diagnostic features and dynamic risk factors in a New Zealand inpatient forensic mental </w:t>
      </w:r>
      <w:r>
        <w:rPr>
          <w:rFonts w:asciiTheme="minorHAnsi" w:hAnsiTheme="minorHAnsi"/>
          <w:sz w:val="16"/>
          <w:szCs w:val="16"/>
        </w:rPr>
        <w:t xml:space="preserve">health setting. </w:t>
      </w:r>
      <w:r w:rsidRPr="00397205">
        <w:rPr>
          <w:rFonts w:asciiTheme="minorHAnsi" w:hAnsiTheme="minorHAnsi"/>
          <w:sz w:val="16"/>
          <w:szCs w:val="16"/>
        </w:rPr>
        <w:t>Psychiatry, Psychology and Law.</w:t>
      </w:r>
      <w:r>
        <w:rPr>
          <w:rFonts w:asciiTheme="minorHAnsi" w:hAnsiTheme="minorHAnsi"/>
          <w:sz w:val="16"/>
          <w:szCs w:val="16"/>
        </w:rPr>
        <w:t xml:space="preserve"> </w:t>
      </w:r>
      <w:r w:rsidRPr="00397205">
        <w:rPr>
          <w:rFonts w:asciiTheme="minorHAnsi" w:hAnsiTheme="minorHAnsi"/>
          <w:sz w:val="16"/>
          <w:szCs w:val="16"/>
        </w:rPr>
        <w:t>2015; 22(4):483–99.</w:t>
      </w:r>
    </w:p>
  </w:footnote>
  <w:footnote w:id="15">
    <w:p w14:paraId="16426A28" w14:textId="77777777" w:rsidR="008F4A49" w:rsidRPr="000C7D1D" w:rsidRDefault="008F4A49" w:rsidP="006B1026">
      <w:pPr>
        <w:pStyle w:val="FootnoteText"/>
        <w:rPr>
          <w:lang w:val="mi-NZ"/>
        </w:rPr>
      </w:pPr>
      <w:r w:rsidRPr="00732BD5">
        <w:rPr>
          <w:rStyle w:val="FootnoteReference"/>
          <w:rFonts w:asciiTheme="minorHAnsi" w:hAnsiTheme="minorHAnsi"/>
        </w:rPr>
        <w:footnoteRef/>
      </w:r>
      <w:r w:rsidRPr="00732BD5">
        <w:rPr>
          <w:rFonts w:asciiTheme="minorHAnsi" w:hAnsiTheme="minorHAnsi"/>
        </w:rPr>
        <w:t xml:space="preserve"> </w:t>
      </w:r>
      <w:r w:rsidRPr="000C7D1D">
        <w:rPr>
          <w:rFonts w:asciiTheme="minorHAnsi" w:eastAsia="Times New Roman" w:hAnsiTheme="minorHAnsi" w:cstheme="minorHAnsi"/>
          <w:sz w:val="16"/>
          <w:szCs w:val="16"/>
          <w:lang w:val="en-NZ" w:eastAsia="en-US"/>
        </w:rPr>
        <w:t>MA Oakley Browne, JE Wells, KM Scott (</w:t>
      </w:r>
      <w:proofErr w:type="spellStart"/>
      <w:r w:rsidRPr="000C7D1D">
        <w:rPr>
          <w:rFonts w:asciiTheme="minorHAnsi" w:eastAsia="Times New Roman" w:hAnsiTheme="minorHAnsi" w:cstheme="minorHAnsi"/>
          <w:sz w:val="16"/>
          <w:szCs w:val="16"/>
          <w:lang w:val="en-NZ" w:eastAsia="en-US"/>
        </w:rPr>
        <w:t>eds</w:t>
      </w:r>
      <w:proofErr w:type="spellEnd"/>
      <w:r w:rsidRPr="000C7D1D">
        <w:rPr>
          <w:rFonts w:asciiTheme="minorHAnsi" w:eastAsia="Times New Roman" w:hAnsiTheme="minorHAnsi" w:cstheme="minorHAnsi"/>
          <w:sz w:val="16"/>
          <w:szCs w:val="16"/>
          <w:lang w:val="en-NZ" w:eastAsia="en-US"/>
        </w:rPr>
        <w:t xml:space="preserve">). 2006. Te Rau Hinengaro: The New Zealand Mental Health Survey. Wellington: Ministry of Health. </w:t>
      </w:r>
      <w:r>
        <w:rPr>
          <w:rFonts w:asciiTheme="minorHAnsi" w:hAnsiTheme="minorHAnsi"/>
          <w:sz w:val="16"/>
          <w:szCs w:val="16"/>
        </w:rPr>
        <w:t>p.35</w:t>
      </w:r>
      <w:r w:rsidRPr="000701B0">
        <w:rPr>
          <w:rFonts w:asciiTheme="minorHAnsi" w:hAnsiTheme="minorHAnsi"/>
          <w:sz w:val="16"/>
          <w:szCs w:val="16"/>
        </w:rPr>
        <w:t>.</w:t>
      </w:r>
    </w:p>
  </w:footnote>
  <w:footnote w:id="16">
    <w:p w14:paraId="5580FFA0" w14:textId="3341C42F" w:rsidR="008D1055" w:rsidRPr="008D1055" w:rsidRDefault="008D1055">
      <w:pPr>
        <w:pStyle w:val="FootnoteText"/>
        <w:rPr>
          <w:lang w:val="mi-NZ"/>
        </w:rPr>
      </w:pPr>
      <w:r w:rsidRPr="00732BD5">
        <w:rPr>
          <w:rStyle w:val="FootnoteReference"/>
          <w:rFonts w:asciiTheme="minorHAnsi" w:hAnsiTheme="minorHAnsi"/>
        </w:rPr>
        <w:footnoteRef/>
      </w:r>
      <w:r>
        <w:t xml:space="preserve"> </w:t>
      </w:r>
      <w:r w:rsidRPr="008D1055">
        <w:rPr>
          <w:rFonts w:ascii="Calibri" w:hAnsi="Calibri"/>
          <w:color w:val="000000" w:themeColor="text1"/>
          <w:sz w:val="16"/>
          <w:szCs w:val="16"/>
        </w:rPr>
        <w:t xml:space="preserve">Ministry of Health. Major Causes of Death. 2015; Available at: </w:t>
      </w:r>
      <w:hyperlink r:id="rId2" w:tgtFrame="_blank" w:history="1">
        <w:r w:rsidRPr="008D1055">
          <w:rPr>
            <w:rStyle w:val="Hyperlink"/>
            <w:rFonts w:ascii="Calibri" w:hAnsi="Calibri"/>
            <w:color w:val="000000" w:themeColor="text1"/>
            <w:sz w:val="16"/>
            <w:szCs w:val="16"/>
          </w:rPr>
          <w:t>https://www.health.govt.nz/our-work/populations/maori-health/tatau-kahukura-maori-health-statistics/nga-mana-hauora-tutohu-health-status-indicators/major-causes-death</w:t>
        </w:r>
      </w:hyperlink>
    </w:p>
  </w:footnote>
  <w:footnote w:id="17">
    <w:p w14:paraId="30E368A3" w14:textId="30AC1A95" w:rsidR="006B1026" w:rsidRPr="00BA3C13" w:rsidRDefault="006B1026" w:rsidP="009808AB">
      <w:pPr>
        <w:shd w:val="clear" w:color="auto" w:fill="FFFFFF"/>
        <w:ind w:left="-360"/>
        <w:rPr>
          <w:rFonts w:asciiTheme="minorHAnsi" w:hAnsiTheme="minorHAnsi" w:cstheme="minorHAnsi"/>
          <w:sz w:val="16"/>
          <w:szCs w:val="16"/>
        </w:rPr>
      </w:pPr>
      <w:r>
        <w:t xml:space="preserve">     </w:t>
      </w:r>
      <w:r w:rsidRPr="00BA3C13">
        <w:rPr>
          <w:vertAlign w:val="superscript"/>
        </w:rPr>
        <w:t xml:space="preserve"> </w:t>
      </w:r>
      <w:r w:rsidRPr="00BA3C13">
        <w:rPr>
          <w:rStyle w:val="file-size"/>
          <w:rFonts w:asciiTheme="minorHAnsi" w:hAnsiTheme="minorHAnsi" w:cstheme="minorHAnsi"/>
          <w:vertAlign w:val="superscript"/>
        </w:rPr>
        <w:footnoteRef/>
      </w:r>
      <w:r>
        <w:t xml:space="preserve"> </w:t>
      </w:r>
      <w:r w:rsidR="009D0D31">
        <w:rPr>
          <w:rFonts w:asciiTheme="minorHAnsi" w:hAnsiTheme="minorHAnsi" w:cstheme="minorHAnsi"/>
          <w:sz w:val="16"/>
          <w:szCs w:val="16"/>
        </w:rPr>
        <w:t>Office of the Director of M</w:t>
      </w:r>
      <w:r w:rsidRPr="00BA3C13">
        <w:rPr>
          <w:rFonts w:asciiTheme="minorHAnsi" w:hAnsiTheme="minorHAnsi" w:cstheme="minorHAnsi"/>
          <w:sz w:val="16"/>
          <w:szCs w:val="16"/>
        </w:rPr>
        <w:t>ental Health Annual Report 2016 Infographic</w:t>
      </w:r>
    </w:p>
  </w:footnote>
  <w:footnote w:id="18">
    <w:p w14:paraId="1F3201DE" w14:textId="6148C0C7" w:rsidR="006B1026" w:rsidRPr="00070D30" w:rsidRDefault="006B1026" w:rsidP="009808AB">
      <w:r w:rsidRPr="00DE10C5">
        <w:rPr>
          <w:rStyle w:val="FootnoteReference"/>
          <w:rFonts w:asciiTheme="minorHAnsi" w:hAnsiTheme="minorHAnsi"/>
        </w:rPr>
        <w:footnoteRef/>
      </w:r>
      <w:r>
        <w:t xml:space="preserve"> </w:t>
      </w:r>
      <w:r w:rsidRPr="001D5519">
        <w:rPr>
          <w:rFonts w:asciiTheme="minorHAnsi" w:hAnsiTheme="minorHAnsi"/>
          <w:sz w:val="16"/>
          <w:szCs w:val="16"/>
        </w:rPr>
        <w:t>Ministry of Health. 2017. Mental Health and Addiction Workforce Action Plan 2017–2021. Wellington: Ministry of Health.</w:t>
      </w:r>
      <w:r w:rsidR="00732BD5" w:rsidRPr="00070D30">
        <w:rPr>
          <w:rFonts w:asciiTheme="minorHAnsi" w:hAnsiTheme="minorHAnsi"/>
          <w:sz w:val="16"/>
          <w:szCs w:val="16"/>
        </w:rPr>
        <w:t>(</w:t>
      </w:r>
      <w:proofErr w:type="spellStart"/>
      <w:r w:rsidR="00732BD5" w:rsidRPr="00070D30">
        <w:rPr>
          <w:rFonts w:asciiTheme="minorHAnsi" w:hAnsiTheme="minorHAnsi"/>
          <w:sz w:val="16"/>
          <w:szCs w:val="16"/>
        </w:rPr>
        <w:t>pg</w:t>
      </w:r>
      <w:proofErr w:type="spellEnd"/>
      <w:r w:rsidR="00732BD5" w:rsidRPr="00070D30">
        <w:rPr>
          <w:rFonts w:asciiTheme="minorHAnsi" w:hAnsiTheme="minorHAnsi"/>
          <w:sz w:val="16"/>
          <w:szCs w:val="16"/>
        </w:rPr>
        <w:t xml:space="preserve"> 2)</w:t>
      </w:r>
    </w:p>
  </w:footnote>
  <w:footnote w:id="19">
    <w:p w14:paraId="4296398A" w14:textId="77777777" w:rsidR="006B1026" w:rsidRPr="00B21ABB" w:rsidRDefault="006B1026" w:rsidP="009808AB">
      <w:pPr>
        <w:pStyle w:val="FootnoteText"/>
        <w:rPr>
          <w:lang w:val="mi-NZ"/>
        </w:rPr>
      </w:pPr>
      <w:r w:rsidRPr="00732BD5">
        <w:rPr>
          <w:rStyle w:val="FootnoteReference"/>
          <w:rFonts w:asciiTheme="minorHAnsi" w:hAnsiTheme="minorHAnsi"/>
        </w:rPr>
        <w:footnoteRef/>
      </w:r>
      <w:r w:rsidRPr="00732BD5">
        <w:rPr>
          <w:rFonts w:asciiTheme="minorHAnsi" w:hAnsiTheme="minorHAnsi"/>
        </w:rPr>
        <w:t xml:space="preserve"> </w:t>
      </w:r>
      <w:r w:rsidRPr="004B4AEC">
        <w:rPr>
          <w:rFonts w:asciiTheme="minorHAnsi" w:hAnsiTheme="minorHAnsi"/>
          <w:noProof/>
          <w:color w:val="000000" w:themeColor="text1"/>
          <w:sz w:val="16"/>
          <w:szCs w:val="16"/>
        </w:rPr>
        <w:t xml:space="preserve">Elliot M. The Peoples Mental Health Report: a crowdfunded and crowd-sourced story-based inquiry into the public mental health system in Aotearoa New Zealand. April, 2017. Retrieved </w:t>
      </w:r>
      <w:r>
        <w:rPr>
          <w:rFonts w:asciiTheme="minorHAnsi" w:hAnsiTheme="minorHAnsi"/>
          <w:noProof/>
          <w:color w:val="000000" w:themeColor="text1"/>
          <w:sz w:val="16"/>
          <w:szCs w:val="16"/>
        </w:rPr>
        <w:t xml:space="preserve">1 July, 2017 </w:t>
      </w:r>
      <w:r w:rsidRPr="004B4AEC">
        <w:rPr>
          <w:rFonts w:asciiTheme="minorHAnsi" w:hAnsiTheme="minorHAnsi"/>
          <w:noProof/>
          <w:color w:val="000000" w:themeColor="text1"/>
          <w:sz w:val="16"/>
          <w:szCs w:val="16"/>
        </w:rPr>
        <w:t>from</w:t>
      </w:r>
      <w:r w:rsidRPr="004B4AEC">
        <w:rPr>
          <w:rFonts w:asciiTheme="minorHAnsi" w:hAnsiTheme="minorHAnsi"/>
          <w:noProof/>
          <w:color w:val="000000" w:themeColor="text1"/>
          <w:sz w:val="16"/>
          <w:szCs w:val="16"/>
          <w:u w:val="single"/>
        </w:rPr>
        <w:t xml:space="preserve"> </w:t>
      </w:r>
      <w:hyperlink r:id="rId3" w:history="1">
        <w:r w:rsidRPr="00695F67">
          <w:rPr>
            <w:rStyle w:val="Hyperlink"/>
            <w:rFonts w:asciiTheme="minorHAnsi" w:hAnsiTheme="minorHAnsi"/>
            <w:noProof/>
            <w:sz w:val="16"/>
            <w:szCs w:val="16"/>
          </w:rPr>
          <w:t>https://www.peoplesmentalhealthreport.com/</w:t>
        </w:r>
      </w:hyperlink>
    </w:p>
  </w:footnote>
  <w:footnote w:id="20">
    <w:p w14:paraId="182A3DA6" w14:textId="77777777" w:rsidR="006B1026" w:rsidRPr="004B4AEC" w:rsidRDefault="006B1026" w:rsidP="009808AB">
      <w:pPr>
        <w:pStyle w:val="EndNoteBibliography"/>
        <w:rPr>
          <w:rFonts w:asciiTheme="minorHAnsi" w:hAnsiTheme="minorHAnsi" w:cs="Times New Roman"/>
          <w:noProof/>
          <w:color w:val="000000" w:themeColor="text1"/>
          <w:sz w:val="16"/>
          <w:szCs w:val="16"/>
        </w:rPr>
      </w:pPr>
      <w:r w:rsidRPr="004B4AEC">
        <w:rPr>
          <w:rStyle w:val="FootnoteReference"/>
          <w:rFonts w:asciiTheme="minorHAnsi" w:hAnsiTheme="minorHAnsi"/>
        </w:rPr>
        <w:footnoteRef/>
      </w:r>
      <w:r w:rsidRPr="004B4AEC">
        <w:rPr>
          <w:rFonts w:asciiTheme="minorHAnsi" w:hAnsiTheme="minorHAnsi"/>
          <w:sz w:val="16"/>
          <w:szCs w:val="16"/>
        </w:rPr>
        <w:t xml:space="preserve"> </w:t>
      </w:r>
      <w:r w:rsidRPr="004B4AEC">
        <w:rPr>
          <w:rFonts w:asciiTheme="minorHAnsi" w:hAnsiTheme="minorHAnsi" w:cs="Times New Roman"/>
          <w:noProof/>
          <w:color w:val="000000" w:themeColor="text1"/>
          <w:sz w:val="16"/>
          <w:szCs w:val="16"/>
        </w:rPr>
        <w:t xml:space="preserve">Schollum G. Office of the Auditor General’s report on Mental health: Effectiveness of the planning to discharge people from hospital. May, 2017. Retrieved </w:t>
      </w:r>
      <w:r>
        <w:rPr>
          <w:rFonts w:asciiTheme="minorHAnsi" w:hAnsiTheme="minorHAnsi" w:cs="Times New Roman"/>
          <w:noProof/>
          <w:color w:val="000000" w:themeColor="text1"/>
          <w:sz w:val="16"/>
          <w:szCs w:val="16"/>
        </w:rPr>
        <w:t xml:space="preserve">1 July, 2017 </w:t>
      </w:r>
      <w:r w:rsidRPr="004B4AEC">
        <w:rPr>
          <w:rFonts w:asciiTheme="minorHAnsi" w:hAnsiTheme="minorHAnsi" w:cs="Times New Roman"/>
          <w:noProof/>
          <w:color w:val="000000" w:themeColor="text1"/>
          <w:sz w:val="16"/>
          <w:szCs w:val="16"/>
        </w:rPr>
        <w:t xml:space="preserve">from </w:t>
      </w:r>
      <w:hyperlink r:id="rId4" w:history="1">
        <w:r w:rsidRPr="00CD6AA7">
          <w:rPr>
            <w:rStyle w:val="Hyperlink"/>
            <w:rFonts w:asciiTheme="minorHAnsi" w:hAnsiTheme="minorHAnsi" w:cs="Times New Roman"/>
            <w:noProof/>
            <w:sz w:val="16"/>
            <w:szCs w:val="16"/>
          </w:rPr>
          <w:t>https://www.oag.govt.nz/2017/mental-health/docs/mental-health</w:t>
        </w:r>
      </w:hyperlink>
      <w:r w:rsidRPr="004B4AEC">
        <w:rPr>
          <w:rFonts w:asciiTheme="minorHAnsi" w:hAnsiTheme="minorHAnsi" w:cs="Times New Roman"/>
          <w:noProof/>
          <w:color w:val="000000" w:themeColor="text1"/>
          <w:sz w:val="16"/>
          <w:szCs w:val="16"/>
          <w:u w:val="single"/>
        </w:rPr>
        <w:t>.</w:t>
      </w:r>
      <w:r>
        <w:rPr>
          <w:rFonts w:asciiTheme="minorHAnsi" w:hAnsiTheme="minorHAnsi" w:cs="Times New Roman"/>
          <w:noProof/>
          <w:color w:val="000000" w:themeColor="text1"/>
          <w:sz w:val="16"/>
          <w:szCs w:val="16"/>
          <w:u w:val="single"/>
        </w:rPr>
        <w:t xml:space="preserve"> </w:t>
      </w:r>
      <w:r w:rsidRPr="004B4AEC">
        <w:rPr>
          <w:rFonts w:asciiTheme="minorHAnsi" w:hAnsiTheme="minorHAnsi" w:cs="Times New Roman"/>
          <w:noProof/>
          <w:color w:val="000000" w:themeColor="text1"/>
          <w:sz w:val="16"/>
          <w:szCs w:val="16"/>
          <w:u w:val="single"/>
        </w:rPr>
        <w:t xml:space="preserve"> </w:t>
      </w:r>
    </w:p>
  </w:footnote>
  <w:footnote w:id="21">
    <w:p w14:paraId="39D3E1EE" w14:textId="77777777" w:rsidR="009808AB" w:rsidRPr="00470FA1" w:rsidRDefault="009808AB" w:rsidP="009808AB">
      <w:pPr>
        <w:pStyle w:val="p1"/>
        <w:rPr>
          <w:rFonts w:ascii="Helvetica" w:hAnsi="Helvetica"/>
          <w:sz w:val="12"/>
          <w:szCs w:val="12"/>
        </w:rPr>
      </w:pPr>
      <w:r w:rsidRPr="00030CCA">
        <w:rPr>
          <w:rStyle w:val="FootnoteReference"/>
          <w:sz w:val="24"/>
          <w:szCs w:val="24"/>
        </w:rPr>
        <w:footnoteRef/>
      </w:r>
      <w:r w:rsidRPr="00030CCA">
        <w:rPr>
          <w:sz w:val="24"/>
          <w:szCs w:val="24"/>
        </w:rPr>
        <w:t xml:space="preserve"> </w:t>
      </w:r>
      <w:r w:rsidRPr="00030CCA">
        <w:rPr>
          <w:rFonts w:asciiTheme="minorHAnsi" w:hAnsiTheme="minorHAnsi"/>
          <w:sz w:val="16"/>
          <w:szCs w:val="16"/>
        </w:rPr>
        <w:t>Johnstone K, Read J. Psychiatrists’ recommendations for improving bicultural training and Maori mental health services: a New Zealand survey. Australian and New Zealand Journal of Psychiatry. 2000; 34(1):135–45.</w:t>
      </w:r>
    </w:p>
  </w:footnote>
  <w:footnote w:id="22">
    <w:p w14:paraId="108F3EC1" w14:textId="77777777" w:rsidR="009808AB" w:rsidRPr="00470FA1" w:rsidRDefault="009808AB" w:rsidP="009808AB">
      <w:pPr>
        <w:pStyle w:val="p1"/>
        <w:rPr>
          <w:rFonts w:asciiTheme="minorHAnsi" w:hAnsiTheme="minorHAnsi"/>
          <w:sz w:val="12"/>
          <w:szCs w:val="12"/>
        </w:rPr>
      </w:pPr>
      <w:r w:rsidRPr="00470FA1">
        <w:rPr>
          <w:rStyle w:val="FootnoteReference"/>
          <w:rFonts w:asciiTheme="minorHAnsi" w:hAnsiTheme="minorHAnsi"/>
          <w:sz w:val="24"/>
          <w:szCs w:val="24"/>
        </w:rPr>
        <w:footnoteRef/>
      </w:r>
      <w:r w:rsidRPr="00470FA1">
        <w:rPr>
          <w:rFonts w:asciiTheme="minorHAnsi" w:hAnsiTheme="minorHAnsi"/>
          <w:sz w:val="24"/>
          <w:szCs w:val="24"/>
        </w:rPr>
        <w:t xml:space="preserve"> </w:t>
      </w:r>
      <w:r w:rsidRPr="00470FA1">
        <w:rPr>
          <w:rFonts w:asciiTheme="minorHAnsi" w:hAnsiTheme="minorHAnsi"/>
          <w:sz w:val="16"/>
          <w:szCs w:val="16"/>
        </w:rPr>
        <w:t>Durie M. Mental Health and Maori Development. Australian &amp; New Zealand Journal of Psychiatry. 1999; 33(1):5–12.</w:t>
      </w:r>
    </w:p>
  </w:footnote>
  <w:footnote w:id="23">
    <w:p w14:paraId="62673D0A" w14:textId="77777777" w:rsidR="009808AB" w:rsidRPr="00470FA1" w:rsidRDefault="009808AB" w:rsidP="009808AB">
      <w:pPr>
        <w:pStyle w:val="p1"/>
        <w:rPr>
          <w:rFonts w:asciiTheme="minorHAnsi" w:hAnsiTheme="minorHAnsi"/>
          <w:sz w:val="16"/>
          <w:szCs w:val="16"/>
        </w:rPr>
      </w:pPr>
      <w:r w:rsidRPr="00470FA1">
        <w:rPr>
          <w:rStyle w:val="FootnoteReference"/>
          <w:rFonts w:asciiTheme="minorHAnsi" w:hAnsiTheme="minorHAnsi"/>
          <w:sz w:val="24"/>
          <w:szCs w:val="24"/>
        </w:rPr>
        <w:footnoteRef/>
      </w:r>
      <w:r w:rsidRPr="00470FA1">
        <w:rPr>
          <w:rFonts w:asciiTheme="minorHAnsi" w:hAnsiTheme="minorHAnsi"/>
        </w:rPr>
        <w:t xml:space="preserve"> </w:t>
      </w:r>
      <w:r w:rsidRPr="00470FA1">
        <w:rPr>
          <w:rFonts w:asciiTheme="minorHAnsi" w:hAnsiTheme="minorHAnsi"/>
          <w:sz w:val="16"/>
          <w:szCs w:val="16"/>
        </w:rPr>
        <w:t>Durie M. Indigenizing mental health services: New Zealand experience. Transcultural Psychiatry. 2011; 48(1–2):24–36.</w:t>
      </w:r>
    </w:p>
  </w:footnote>
  <w:footnote w:id="24">
    <w:p w14:paraId="2D9D9B0D" w14:textId="77777777" w:rsidR="009808AB" w:rsidRPr="00470FA1" w:rsidRDefault="009808AB" w:rsidP="009808AB">
      <w:pPr>
        <w:pStyle w:val="p1"/>
        <w:rPr>
          <w:rFonts w:asciiTheme="minorHAnsi" w:hAnsiTheme="minorHAnsi"/>
          <w:sz w:val="12"/>
          <w:szCs w:val="12"/>
        </w:rPr>
      </w:pPr>
      <w:r w:rsidRPr="00470FA1">
        <w:rPr>
          <w:rStyle w:val="FootnoteReference"/>
          <w:rFonts w:asciiTheme="minorHAnsi" w:hAnsiTheme="minorHAnsi"/>
          <w:sz w:val="24"/>
          <w:szCs w:val="24"/>
        </w:rPr>
        <w:footnoteRef/>
      </w:r>
      <w:r w:rsidRPr="00470FA1">
        <w:rPr>
          <w:rFonts w:asciiTheme="minorHAnsi" w:hAnsiTheme="minorHAnsi"/>
          <w:sz w:val="16"/>
          <w:szCs w:val="16"/>
        </w:rPr>
        <w:t>Durie M. Indigenous mental health 2035: future takers, future makers and transformational potential. Australasian Psychiatry. 2011; 19(sup1):S8–S11.</w:t>
      </w:r>
    </w:p>
  </w:footnote>
  <w:footnote w:id="25">
    <w:p w14:paraId="12520337" w14:textId="77777777" w:rsidR="009808AB" w:rsidRPr="00470FA1" w:rsidRDefault="009808AB" w:rsidP="009808AB">
      <w:pPr>
        <w:pStyle w:val="p1"/>
        <w:rPr>
          <w:rFonts w:asciiTheme="minorHAnsi" w:hAnsiTheme="minorHAnsi"/>
          <w:sz w:val="16"/>
          <w:szCs w:val="16"/>
        </w:rPr>
      </w:pPr>
      <w:r w:rsidRPr="00470FA1">
        <w:rPr>
          <w:rStyle w:val="FootnoteReference"/>
          <w:rFonts w:asciiTheme="minorHAnsi" w:hAnsiTheme="minorHAnsi"/>
          <w:sz w:val="24"/>
          <w:szCs w:val="24"/>
        </w:rPr>
        <w:footnoteRef/>
      </w:r>
      <w:proofErr w:type="spellStart"/>
      <w:r w:rsidRPr="00470FA1">
        <w:rPr>
          <w:rFonts w:asciiTheme="minorHAnsi" w:hAnsiTheme="minorHAnsi"/>
          <w:sz w:val="16"/>
          <w:szCs w:val="16"/>
        </w:rPr>
        <w:t>Niania</w:t>
      </w:r>
      <w:proofErr w:type="spellEnd"/>
      <w:r w:rsidRPr="00470FA1">
        <w:rPr>
          <w:rFonts w:asciiTheme="minorHAnsi" w:hAnsiTheme="minorHAnsi"/>
          <w:sz w:val="16"/>
          <w:szCs w:val="16"/>
        </w:rPr>
        <w:t xml:space="preserve"> W, Bush A, E. D, Collaborative and Indigenous Mental Health Therapy: </w:t>
      </w:r>
      <w:proofErr w:type="spellStart"/>
      <w:r w:rsidRPr="00470FA1">
        <w:rPr>
          <w:rFonts w:asciiTheme="minorHAnsi" w:hAnsiTheme="minorHAnsi"/>
          <w:sz w:val="16"/>
          <w:szCs w:val="16"/>
        </w:rPr>
        <w:t>Tataihono</w:t>
      </w:r>
      <w:proofErr w:type="spellEnd"/>
      <w:r w:rsidRPr="00470FA1">
        <w:rPr>
          <w:rFonts w:asciiTheme="minorHAnsi" w:hAnsiTheme="minorHAnsi"/>
          <w:sz w:val="16"/>
          <w:szCs w:val="16"/>
        </w:rPr>
        <w:t xml:space="preserve"> - Stories of Māori Healing and Psychiatry. Pub: Routledge, New York, 2017.</w:t>
      </w:r>
    </w:p>
  </w:footnote>
  <w:footnote w:id="26">
    <w:p w14:paraId="6F51FF03" w14:textId="0A619616" w:rsidR="009808AB" w:rsidRPr="00D60082" w:rsidRDefault="009808AB" w:rsidP="009808AB">
      <w:pPr>
        <w:pStyle w:val="p1"/>
        <w:rPr>
          <w:rFonts w:ascii="Helvetica" w:hAnsi="Helvetica"/>
          <w:sz w:val="12"/>
          <w:szCs w:val="12"/>
        </w:rPr>
      </w:pPr>
      <w:r w:rsidRPr="00B17721">
        <w:rPr>
          <w:rStyle w:val="FootnoteReference"/>
          <w:sz w:val="24"/>
          <w:szCs w:val="24"/>
        </w:rPr>
        <w:footnoteRef/>
      </w:r>
      <w:r>
        <w:t xml:space="preserve"> </w:t>
      </w:r>
      <w:r w:rsidRPr="00B17721">
        <w:rPr>
          <w:rFonts w:asciiTheme="minorHAnsi" w:hAnsiTheme="minorHAnsi"/>
          <w:sz w:val="16"/>
          <w:szCs w:val="16"/>
        </w:rPr>
        <w:t xml:space="preserve">Abel S, Marshall R, </w:t>
      </w:r>
      <w:proofErr w:type="spellStart"/>
      <w:r w:rsidRPr="00B17721">
        <w:rPr>
          <w:rFonts w:asciiTheme="minorHAnsi" w:hAnsiTheme="minorHAnsi"/>
          <w:sz w:val="16"/>
          <w:szCs w:val="16"/>
        </w:rPr>
        <w:t>Riki</w:t>
      </w:r>
      <w:proofErr w:type="spellEnd"/>
      <w:r w:rsidR="00072E9B">
        <w:rPr>
          <w:rFonts w:asciiTheme="minorHAnsi" w:hAnsiTheme="minorHAnsi"/>
          <w:sz w:val="16"/>
          <w:szCs w:val="16"/>
        </w:rPr>
        <w:t xml:space="preserve"> D, Luscombe T. Evaluation of </w:t>
      </w:r>
      <w:proofErr w:type="spellStart"/>
      <w:r w:rsidR="00072E9B">
        <w:rPr>
          <w:rFonts w:asciiTheme="minorHAnsi" w:hAnsiTheme="minorHAnsi"/>
          <w:sz w:val="16"/>
          <w:szCs w:val="16"/>
        </w:rPr>
        <w:t>T</w:t>
      </w:r>
      <w:r w:rsidR="002B62A9">
        <w:rPr>
          <w:rFonts w:asciiTheme="minorHAnsi" w:hAnsiTheme="minorHAnsi"/>
          <w:sz w:val="16"/>
          <w:szCs w:val="16"/>
        </w:rPr>
        <w:t>ū</w:t>
      </w:r>
      <w:proofErr w:type="spellEnd"/>
      <w:r w:rsidRPr="00B17721">
        <w:rPr>
          <w:rFonts w:asciiTheme="minorHAnsi" w:hAnsiTheme="minorHAnsi"/>
          <w:sz w:val="16"/>
          <w:szCs w:val="16"/>
        </w:rPr>
        <w:t xml:space="preserve"> </w:t>
      </w:r>
      <w:proofErr w:type="spellStart"/>
      <w:r w:rsidRPr="00B17721">
        <w:rPr>
          <w:rFonts w:asciiTheme="minorHAnsi" w:hAnsiTheme="minorHAnsi"/>
          <w:sz w:val="16"/>
          <w:szCs w:val="16"/>
        </w:rPr>
        <w:t>Meke</w:t>
      </w:r>
      <w:proofErr w:type="spellEnd"/>
      <w:r w:rsidRPr="00B17721">
        <w:rPr>
          <w:rFonts w:asciiTheme="minorHAnsi" w:hAnsiTheme="minorHAnsi"/>
          <w:sz w:val="16"/>
          <w:szCs w:val="16"/>
        </w:rPr>
        <w:t xml:space="preserve"> PHO’s Wairua Tangata Programme: a primary mental health initiative for underserved communities. Journal of Primary Health Care. 2012; 4(3):242–8.</w:t>
      </w:r>
    </w:p>
  </w:footnote>
  <w:footnote w:id="27">
    <w:p w14:paraId="239A28A0" w14:textId="2BAF6B11" w:rsidR="00B7084C" w:rsidRPr="00B7084C" w:rsidRDefault="00B7084C">
      <w:pPr>
        <w:pStyle w:val="FootnoteText"/>
        <w:rPr>
          <w:lang w:val="mi-NZ"/>
        </w:rPr>
      </w:pPr>
      <w:r w:rsidRPr="00732BD5">
        <w:rPr>
          <w:rStyle w:val="FootnoteReference"/>
          <w:rFonts w:asciiTheme="minorHAnsi" w:hAnsiTheme="minorHAnsi"/>
        </w:rPr>
        <w:footnoteRef/>
      </w:r>
      <w:r w:rsidRPr="00732BD5">
        <w:rPr>
          <w:rFonts w:asciiTheme="minorHAnsi" w:hAnsiTheme="minorHAnsi"/>
        </w:rPr>
        <w:t xml:space="preserve"> </w:t>
      </w:r>
      <w:r w:rsidRPr="00B7084C">
        <w:rPr>
          <w:rFonts w:ascii="Calibri" w:hAnsi="Calibri"/>
          <w:sz w:val="16"/>
          <w:szCs w:val="16"/>
        </w:rPr>
        <w:t xml:space="preserve">Schmitt MT, </w:t>
      </w:r>
      <w:proofErr w:type="spellStart"/>
      <w:r w:rsidRPr="00B7084C">
        <w:rPr>
          <w:rFonts w:ascii="Calibri" w:hAnsi="Calibri"/>
          <w:sz w:val="16"/>
          <w:szCs w:val="16"/>
        </w:rPr>
        <w:t>Branscombe</w:t>
      </w:r>
      <w:proofErr w:type="spellEnd"/>
      <w:r w:rsidRPr="00B7084C">
        <w:rPr>
          <w:rFonts w:ascii="Calibri" w:hAnsi="Calibri"/>
          <w:sz w:val="16"/>
          <w:szCs w:val="16"/>
        </w:rPr>
        <w:t xml:space="preserve"> NR, </w:t>
      </w:r>
      <w:proofErr w:type="spellStart"/>
      <w:r w:rsidRPr="00B7084C">
        <w:rPr>
          <w:rFonts w:ascii="Calibri" w:hAnsi="Calibri"/>
          <w:sz w:val="16"/>
          <w:szCs w:val="16"/>
        </w:rPr>
        <w:t>Postmes</w:t>
      </w:r>
      <w:proofErr w:type="spellEnd"/>
      <w:r w:rsidRPr="00B7084C">
        <w:rPr>
          <w:rFonts w:ascii="Calibri" w:hAnsi="Calibri"/>
          <w:sz w:val="16"/>
          <w:szCs w:val="16"/>
        </w:rPr>
        <w:t xml:space="preserve"> T, Garcia A. The consequences of perceived discrimination for psychological well-being: A meta-analytic review. </w:t>
      </w:r>
      <w:proofErr w:type="spellStart"/>
      <w:r w:rsidRPr="00B7084C">
        <w:rPr>
          <w:rFonts w:ascii="Calibri" w:hAnsi="Calibri"/>
          <w:sz w:val="16"/>
          <w:szCs w:val="16"/>
        </w:rPr>
        <w:t>Psychol</w:t>
      </w:r>
      <w:proofErr w:type="spellEnd"/>
      <w:r w:rsidRPr="00B7084C">
        <w:rPr>
          <w:rFonts w:ascii="Calibri" w:hAnsi="Calibri"/>
          <w:sz w:val="16"/>
          <w:szCs w:val="16"/>
        </w:rPr>
        <w:t xml:space="preserve"> Bull 2014;140(4):921.</w:t>
      </w:r>
    </w:p>
  </w:footnote>
  <w:footnote w:id="28">
    <w:p w14:paraId="1C66BC41" w14:textId="019EBEA0" w:rsidR="008D1055" w:rsidRPr="008D1055" w:rsidRDefault="008D1055">
      <w:pPr>
        <w:pStyle w:val="FootnoteText"/>
        <w:rPr>
          <w:lang w:val="mi-NZ"/>
        </w:rPr>
      </w:pPr>
      <w:r w:rsidRPr="00732BD5">
        <w:rPr>
          <w:rStyle w:val="FootnoteReference"/>
          <w:rFonts w:asciiTheme="minorHAnsi" w:hAnsiTheme="minorHAnsi"/>
        </w:rPr>
        <w:footnoteRef/>
      </w:r>
      <w:r>
        <w:t xml:space="preserve"> </w:t>
      </w:r>
      <w:r w:rsidRPr="008D1055">
        <w:rPr>
          <w:rFonts w:ascii="Calibri" w:hAnsi="Calibri"/>
          <w:sz w:val="16"/>
          <w:szCs w:val="16"/>
        </w:rPr>
        <w:t xml:space="preserve">Harris R, Tobias M, Jeffreys M, Waldegrave K, </w:t>
      </w:r>
      <w:proofErr w:type="spellStart"/>
      <w:r w:rsidRPr="008D1055">
        <w:rPr>
          <w:rFonts w:ascii="Calibri" w:hAnsi="Calibri"/>
          <w:sz w:val="16"/>
          <w:szCs w:val="16"/>
        </w:rPr>
        <w:t>Karlsen</w:t>
      </w:r>
      <w:proofErr w:type="spellEnd"/>
      <w:r w:rsidRPr="008D1055">
        <w:rPr>
          <w:rFonts w:ascii="Calibri" w:hAnsi="Calibri"/>
          <w:sz w:val="16"/>
          <w:szCs w:val="16"/>
        </w:rPr>
        <w:t xml:space="preserve"> S, </w:t>
      </w:r>
      <w:proofErr w:type="spellStart"/>
      <w:r w:rsidRPr="008D1055">
        <w:rPr>
          <w:rFonts w:ascii="Calibri" w:hAnsi="Calibri"/>
          <w:sz w:val="16"/>
          <w:szCs w:val="16"/>
        </w:rPr>
        <w:t>Nazroo</w:t>
      </w:r>
      <w:proofErr w:type="spellEnd"/>
      <w:r w:rsidRPr="008D1055">
        <w:rPr>
          <w:rFonts w:ascii="Calibri" w:hAnsi="Calibri"/>
          <w:sz w:val="16"/>
          <w:szCs w:val="16"/>
        </w:rPr>
        <w:t xml:space="preserve"> J. Racism and health: the relationship between experience of racial discrimination and health in New Zealand. </w:t>
      </w:r>
      <w:proofErr w:type="spellStart"/>
      <w:r w:rsidRPr="008D1055">
        <w:rPr>
          <w:rFonts w:ascii="Calibri" w:hAnsi="Calibri"/>
          <w:sz w:val="16"/>
          <w:szCs w:val="16"/>
        </w:rPr>
        <w:t>Soc</w:t>
      </w:r>
      <w:proofErr w:type="spellEnd"/>
      <w:r w:rsidRPr="008D1055">
        <w:rPr>
          <w:rFonts w:ascii="Calibri" w:hAnsi="Calibri"/>
          <w:sz w:val="16"/>
          <w:szCs w:val="16"/>
        </w:rPr>
        <w:t xml:space="preserve"> </w:t>
      </w:r>
      <w:proofErr w:type="spellStart"/>
      <w:r w:rsidRPr="008D1055">
        <w:rPr>
          <w:rFonts w:ascii="Calibri" w:hAnsi="Calibri"/>
          <w:sz w:val="16"/>
          <w:szCs w:val="16"/>
        </w:rPr>
        <w:t>Sci</w:t>
      </w:r>
      <w:proofErr w:type="spellEnd"/>
      <w:r w:rsidRPr="008D1055">
        <w:rPr>
          <w:rFonts w:ascii="Calibri" w:hAnsi="Calibri"/>
          <w:sz w:val="16"/>
          <w:szCs w:val="16"/>
        </w:rPr>
        <w:t xml:space="preserve"> Med 2006;63(6):1428-1441.</w:t>
      </w:r>
    </w:p>
  </w:footnote>
  <w:footnote w:id="29">
    <w:p w14:paraId="6664D964" w14:textId="77777777" w:rsidR="00A209D0" w:rsidRPr="000E7A77" w:rsidRDefault="00A209D0" w:rsidP="00A209D0">
      <w:pPr>
        <w:pStyle w:val="FootnoteText"/>
        <w:rPr>
          <w:lang w:val="mi-NZ"/>
        </w:rPr>
      </w:pPr>
      <w:r w:rsidRPr="00732BD5">
        <w:rPr>
          <w:rStyle w:val="FootnoteReference"/>
          <w:rFonts w:asciiTheme="minorHAnsi" w:hAnsiTheme="minorHAnsi"/>
        </w:rPr>
        <w:footnoteRef/>
      </w:r>
      <w:r>
        <w:t xml:space="preserve"> </w:t>
      </w:r>
      <w:r w:rsidRPr="000E7A77">
        <w:rPr>
          <w:rFonts w:ascii="Calibri" w:hAnsi="Calibri"/>
          <w:sz w:val="16"/>
          <w:szCs w:val="16"/>
        </w:rPr>
        <w:t>Harris RB, Stanley J, Cormack DM. Racism and health in New Zealand: Prevalence over time and associations between recent experience of racism and health and wellbeing measures using national survey data. PLOS ONE 2018;13(5):e0196476.</w:t>
      </w:r>
    </w:p>
  </w:footnote>
  <w:footnote w:id="30">
    <w:p w14:paraId="792605D8" w14:textId="7514E733" w:rsidR="00017B66" w:rsidRPr="00017B66" w:rsidRDefault="00017B66">
      <w:pPr>
        <w:pStyle w:val="FootnoteText"/>
        <w:rPr>
          <w:lang w:val="mi-NZ"/>
        </w:rPr>
      </w:pPr>
      <w:r w:rsidRPr="00732BD5">
        <w:rPr>
          <w:rStyle w:val="FootnoteReference"/>
          <w:rFonts w:asciiTheme="minorHAnsi" w:hAnsiTheme="minorHAnsi"/>
        </w:rPr>
        <w:footnoteRef/>
      </w:r>
      <w:r>
        <w:t xml:space="preserve"> </w:t>
      </w:r>
      <w:r w:rsidRPr="00017B66">
        <w:rPr>
          <w:rFonts w:ascii="Calibri" w:hAnsi="Calibri"/>
          <w:sz w:val="16"/>
          <w:szCs w:val="16"/>
        </w:rPr>
        <w:t xml:space="preserve">Jones CP. Systems of power, axes of inequity: parallels, intersections, braiding the strands. Med Care 2014 Oct;52(10 </w:t>
      </w:r>
      <w:proofErr w:type="spellStart"/>
      <w:r w:rsidRPr="00017B66">
        <w:rPr>
          <w:rFonts w:ascii="Calibri" w:hAnsi="Calibri"/>
          <w:sz w:val="16"/>
          <w:szCs w:val="16"/>
        </w:rPr>
        <w:t>Suppl</w:t>
      </w:r>
      <w:proofErr w:type="spellEnd"/>
      <w:r w:rsidRPr="00017B66">
        <w:rPr>
          <w:rFonts w:ascii="Calibri" w:hAnsi="Calibri"/>
          <w:sz w:val="16"/>
          <w:szCs w:val="16"/>
        </w:rPr>
        <w:t xml:space="preserve"> 3):S71-5.</w:t>
      </w:r>
    </w:p>
  </w:footnote>
  <w:footnote w:id="31">
    <w:p w14:paraId="04AB6A2A" w14:textId="0CCA5771" w:rsidR="00E31384" w:rsidRPr="00E31384" w:rsidRDefault="00E31384" w:rsidP="00E31384">
      <w:pPr>
        <w:shd w:val="clear" w:color="auto" w:fill="FFFFFF"/>
        <w:spacing w:line="276" w:lineRule="auto"/>
        <w:rPr>
          <w:rFonts w:asciiTheme="minorHAnsi" w:hAnsiTheme="minorHAnsi" w:cstheme="minorHAnsi"/>
          <w:color w:val="767676"/>
          <w:sz w:val="16"/>
          <w:szCs w:val="16"/>
        </w:rPr>
      </w:pPr>
      <w:r w:rsidRPr="00E31384">
        <w:rPr>
          <w:rStyle w:val="FootnoteReference"/>
          <w:rFonts w:asciiTheme="minorHAnsi" w:hAnsiTheme="minorHAnsi" w:cstheme="minorHAnsi"/>
        </w:rPr>
        <w:footnoteRef/>
      </w:r>
      <w:r w:rsidRPr="00E31384">
        <w:rPr>
          <w:rFonts w:asciiTheme="minorHAnsi" w:hAnsiTheme="minorHAnsi" w:cstheme="minorHAnsi"/>
        </w:rPr>
        <w:t xml:space="preserve"> </w:t>
      </w:r>
      <w:proofErr w:type="spellStart"/>
      <w:r w:rsidRPr="00E31384">
        <w:rPr>
          <w:rFonts w:asciiTheme="minorHAnsi" w:hAnsiTheme="minorHAnsi" w:cstheme="minorHAnsi"/>
          <w:sz w:val="16"/>
          <w:szCs w:val="16"/>
        </w:rPr>
        <w:t>Ontai</w:t>
      </w:r>
      <w:proofErr w:type="spellEnd"/>
      <w:r w:rsidRPr="00E31384">
        <w:rPr>
          <w:rFonts w:asciiTheme="minorHAnsi" w:hAnsiTheme="minorHAnsi" w:cstheme="minorHAnsi"/>
          <w:sz w:val="16"/>
          <w:szCs w:val="16"/>
        </w:rPr>
        <w:t xml:space="preserve"> LL, Thompson RA (2002) Patterns of attachment and maternal discourse effects on children’s emotion understanding from 3 to 5 years of age. Social Development </w:t>
      </w:r>
      <w:hyperlink r:id="rId5" w:history="1">
        <w:r w:rsidRPr="00E31384">
          <w:rPr>
            <w:rStyle w:val="Hyperlink"/>
            <w:rFonts w:asciiTheme="minorHAnsi" w:hAnsiTheme="minorHAnsi" w:cstheme="minorHAnsi"/>
            <w:bCs/>
            <w:color w:val="000000" w:themeColor="text1"/>
            <w:sz w:val="16"/>
            <w:szCs w:val="16"/>
          </w:rPr>
          <w:t>https://doi.org/10.1111/1467-9507.00209</w:t>
        </w:r>
      </w:hyperlink>
    </w:p>
  </w:footnote>
  <w:footnote w:id="32">
    <w:p w14:paraId="31269F85" w14:textId="12996F4B" w:rsidR="00E31384" w:rsidRPr="00E31384" w:rsidRDefault="00E31384" w:rsidP="00E31384">
      <w:pPr>
        <w:pStyle w:val="FootnoteText"/>
        <w:spacing w:line="276" w:lineRule="auto"/>
        <w:rPr>
          <w:lang w:val="mi-NZ"/>
        </w:rPr>
      </w:pPr>
      <w:r w:rsidRPr="00E31384">
        <w:rPr>
          <w:rStyle w:val="FootnoteReference"/>
          <w:rFonts w:asciiTheme="minorHAnsi" w:hAnsiTheme="minorHAnsi" w:cstheme="minorHAnsi"/>
        </w:rPr>
        <w:footnoteRef/>
      </w:r>
      <w:r w:rsidRPr="00E31384">
        <w:rPr>
          <w:rFonts w:asciiTheme="minorHAnsi" w:hAnsiTheme="minorHAnsi" w:cstheme="minorHAnsi"/>
        </w:rPr>
        <w:t xml:space="preserve"> </w:t>
      </w:r>
      <w:r w:rsidRPr="00E31384">
        <w:rPr>
          <w:rFonts w:asciiTheme="minorHAnsi" w:hAnsiTheme="minorHAnsi" w:cstheme="minorHAnsi"/>
          <w:sz w:val="16"/>
          <w:szCs w:val="16"/>
        </w:rPr>
        <w:t>Moore T, West S. Early intervention and the first thousand days of child development. Developing Practice: The Child, Youth and Family Work Journal 2016(44):16.</w:t>
      </w:r>
    </w:p>
  </w:footnote>
  <w:footnote w:id="33">
    <w:p w14:paraId="5A8A253B" w14:textId="12C715D8" w:rsidR="001466F0" w:rsidRPr="001466F0" w:rsidRDefault="001466F0">
      <w:pPr>
        <w:pStyle w:val="FootnoteText"/>
        <w:rPr>
          <w:lang w:val="mi-NZ"/>
        </w:rPr>
      </w:pPr>
      <w:r w:rsidRPr="00732BD5">
        <w:rPr>
          <w:rStyle w:val="FootnoteReference"/>
          <w:rFonts w:asciiTheme="minorHAnsi" w:hAnsiTheme="minorHAnsi"/>
        </w:rPr>
        <w:footnoteRef/>
      </w:r>
      <w:r>
        <w:t xml:space="preserve"> </w:t>
      </w:r>
      <w:r w:rsidRPr="001466F0">
        <w:rPr>
          <w:rFonts w:asciiTheme="minorHAnsi" w:eastAsia="Times New Roman" w:hAnsiTheme="minorHAnsi" w:cstheme="minorHAnsi"/>
          <w:sz w:val="16"/>
          <w:szCs w:val="16"/>
          <w:lang w:val="en-NZ"/>
        </w:rPr>
        <w:t xml:space="preserve">Chapman DP, Whitfield CL, </w:t>
      </w:r>
      <w:proofErr w:type="spellStart"/>
      <w:r w:rsidRPr="001466F0">
        <w:rPr>
          <w:rFonts w:asciiTheme="minorHAnsi" w:eastAsia="Times New Roman" w:hAnsiTheme="minorHAnsi" w:cstheme="minorHAnsi"/>
          <w:sz w:val="16"/>
          <w:szCs w:val="16"/>
          <w:lang w:val="en-NZ"/>
        </w:rPr>
        <w:t>Felitti</w:t>
      </w:r>
      <w:proofErr w:type="spellEnd"/>
      <w:r w:rsidRPr="001466F0">
        <w:rPr>
          <w:rFonts w:asciiTheme="minorHAnsi" w:eastAsia="Times New Roman" w:hAnsiTheme="minorHAnsi" w:cstheme="minorHAnsi"/>
          <w:sz w:val="16"/>
          <w:szCs w:val="16"/>
          <w:lang w:val="en-NZ"/>
        </w:rPr>
        <w:t xml:space="preserve"> VJ, </w:t>
      </w:r>
      <w:proofErr w:type="spellStart"/>
      <w:r w:rsidRPr="001466F0">
        <w:rPr>
          <w:rFonts w:asciiTheme="minorHAnsi" w:eastAsia="Times New Roman" w:hAnsiTheme="minorHAnsi" w:cstheme="minorHAnsi"/>
          <w:sz w:val="16"/>
          <w:szCs w:val="16"/>
          <w:lang w:val="en-NZ"/>
        </w:rPr>
        <w:t>Dube</w:t>
      </w:r>
      <w:proofErr w:type="spellEnd"/>
      <w:r w:rsidRPr="001466F0">
        <w:rPr>
          <w:rFonts w:asciiTheme="minorHAnsi" w:eastAsia="Times New Roman" w:hAnsiTheme="minorHAnsi" w:cstheme="minorHAnsi"/>
          <w:sz w:val="16"/>
          <w:szCs w:val="16"/>
          <w:lang w:val="en-NZ"/>
        </w:rPr>
        <w:t xml:space="preserve"> SR, Edwards VJ, </w:t>
      </w:r>
      <w:proofErr w:type="spellStart"/>
      <w:r w:rsidRPr="001466F0">
        <w:rPr>
          <w:rFonts w:asciiTheme="minorHAnsi" w:eastAsia="Times New Roman" w:hAnsiTheme="minorHAnsi" w:cstheme="minorHAnsi"/>
          <w:sz w:val="16"/>
          <w:szCs w:val="16"/>
          <w:lang w:val="en-NZ"/>
        </w:rPr>
        <w:t>Anda</w:t>
      </w:r>
      <w:proofErr w:type="spellEnd"/>
      <w:r w:rsidRPr="001466F0">
        <w:rPr>
          <w:rFonts w:asciiTheme="minorHAnsi" w:eastAsia="Times New Roman" w:hAnsiTheme="minorHAnsi" w:cstheme="minorHAnsi"/>
          <w:sz w:val="16"/>
          <w:szCs w:val="16"/>
          <w:lang w:val="en-NZ"/>
        </w:rPr>
        <w:t xml:space="preserve"> RF. Adverse childhood experiences and the risk of depressive disorders in adulthood. Journal of Affective Disorders 2004; 82(2): 217-25.</w:t>
      </w:r>
    </w:p>
  </w:footnote>
  <w:footnote w:id="34">
    <w:p w14:paraId="57B664B8" w14:textId="34AA8248" w:rsidR="00A22974" w:rsidRPr="00A22974" w:rsidRDefault="00A22974">
      <w:pPr>
        <w:pStyle w:val="FootnoteText"/>
        <w:rPr>
          <w:lang w:val="mi-NZ"/>
        </w:rPr>
      </w:pPr>
      <w:r>
        <w:rPr>
          <w:rStyle w:val="FootnoteReference"/>
        </w:rPr>
        <w:footnoteRef/>
      </w:r>
      <w:r>
        <w:t xml:space="preserve"> </w:t>
      </w:r>
      <w:proofErr w:type="spellStart"/>
      <w:r w:rsidRPr="00A22974">
        <w:rPr>
          <w:rFonts w:asciiTheme="minorHAnsi" w:eastAsia="Times New Roman" w:hAnsiTheme="minorHAnsi" w:cstheme="minorHAnsi"/>
          <w:sz w:val="16"/>
          <w:szCs w:val="16"/>
          <w:lang w:val="en-NZ"/>
        </w:rPr>
        <w:t>Fonagy</w:t>
      </w:r>
      <w:proofErr w:type="spellEnd"/>
      <w:r w:rsidRPr="00A22974">
        <w:rPr>
          <w:rFonts w:asciiTheme="minorHAnsi" w:eastAsia="Times New Roman" w:hAnsiTheme="minorHAnsi" w:cstheme="minorHAnsi"/>
          <w:sz w:val="16"/>
          <w:szCs w:val="16"/>
          <w:lang w:val="en-NZ"/>
        </w:rPr>
        <w:t xml:space="preserve"> P, Steele H, Steele M. Maternal Representations of Attachment during Pregnancy Predict the Organization of Infant-Mother Attachment at One Year of Age. Child Development 1991; 62(5): 891-905</w:t>
      </w:r>
      <w:r w:rsidRPr="00A61E90">
        <w:rPr>
          <w:rFonts w:eastAsia="Times New Roman"/>
          <w:lang w:val="en-NZ"/>
        </w:rPr>
        <w:t>.</w:t>
      </w:r>
    </w:p>
  </w:footnote>
  <w:footnote w:id="35">
    <w:p w14:paraId="097306EB" w14:textId="615F1738" w:rsidR="004D5E58" w:rsidRPr="004D5E58" w:rsidRDefault="004D5E58" w:rsidP="004D5E58">
      <w:pPr>
        <w:rPr>
          <w:rFonts w:cstheme="minorHAnsi"/>
          <w:sz w:val="16"/>
          <w:szCs w:val="16"/>
        </w:rPr>
      </w:pPr>
      <w:r w:rsidRPr="00732BD5">
        <w:rPr>
          <w:rStyle w:val="FootnoteReference"/>
          <w:rFonts w:asciiTheme="minorHAnsi" w:hAnsiTheme="minorHAnsi"/>
        </w:rPr>
        <w:footnoteRef/>
      </w:r>
      <w:r>
        <w:t xml:space="preserve"> </w:t>
      </w:r>
      <w:proofErr w:type="spellStart"/>
      <w:r w:rsidRPr="004D5E58">
        <w:rPr>
          <w:rFonts w:asciiTheme="minorHAnsi" w:hAnsiTheme="minorHAnsi" w:cstheme="minorHAnsi"/>
          <w:sz w:val="16"/>
          <w:szCs w:val="16"/>
        </w:rPr>
        <w:t>Kieling</w:t>
      </w:r>
      <w:proofErr w:type="spellEnd"/>
      <w:r w:rsidRPr="004D5E58">
        <w:rPr>
          <w:rFonts w:asciiTheme="minorHAnsi" w:hAnsiTheme="minorHAnsi" w:cstheme="minorHAnsi"/>
          <w:sz w:val="16"/>
          <w:szCs w:val="16"/>
        </w:rPr>
        <w:t xml:space="preserve"> C, Baker-</w:t>
      </w:r>
      <w:proofErr w:type="spellStart"/>
      <w:r w:rsidRPr="004D5E58">
        <w:rPr>
          <w:rFonts w:asciiTheme="minorHAnsi" w:hAnsiTheme="minorHAnsi" w:cstheme="minorHAnsi"/>
          <w:sz w:val="16"/>
          <w:szCs w:val="16"/>
        </w:rPr>
        <w:t>Henningham</w:t>
      </w:r>
      <w:proofErr w:type="spellEnd"/>
      <w:r w:rsidRPr="004D5E58">
        <w:rPr>
          <w:rFonts w:asciiTheme="minorHAnsi" w:hAnsiTheme="minorHAnsi" w:cstheme="minorHAnsi"/>
          <w:sz w:val="16"/>
          <w:szCs w:val="16"/>
        </w:rPr>
        <w:t xml:space="preserve"> H, </w:t>
      </w:r>
      <w:proofErr w:type="spellStart"/>
      <w:r w:rsidRPr="004D5E58">
        <w:rPr>
          <w:rFonts w:asciiTheme="minorHAnsi" w:hAnsiTheme="minorHAnsi" w:cstheme="minorHAnsi"/>
          <w:sz w:val="16"/>
          <w:szCs w:val="16"/>
        </w:rPr>
        <w:t>Belfer</w:t>
      </w:r>
      <w:proofErr w:type="spellEnd"/>
      <w:r w:rsidRPr="004D5E58">
        <w:rPr>
          <w:rFonts w:asciiTheme="minorHAnsi" w:hAnsiTheme="minorHAnsi" w:cstheme="minorHAnsi"/>
          <w:sz w:val="16"/>
          <w:szCs w:val="16"/>
        </w:rPr>
        <w:t xml:space="preserve"> M, Conti G, </w:t>
      </w:r>
      <w:proofErr w:type="spellStart"/>
      <w:r w:rsidRPr="004D5E58">
        <w:rPr>
          <w:rFonts w:asciiTheme="minorHAnsi" w:hAnsiTheme="minorHAnsi" w:cstheme="minorHAnsi"/>
          <w:sz w:val="16"/>
          <w:szCs w:val="16"/>
        </w:rPr>
        <w:t>Ertem</w:t>
      </w:r>
      <w:proofErr w:type="spellEnd"/>
      <w:r w:rsidRPr="004D5E58">
        <w:rPr>
          <w:rFonts w:asciiTheme="minorHAnsi" w:hAnsiTheme="minorHAnsi" w:cstheme="minorHAnsi"/>
          <w:sz w:val="16"/>
          <w:szCs w:val="16"/>
        </w:rPr>
        <w:t xml:space="preserve"> I, </w:t>
      </w:r>
      <w:proofErr w:type="spellStart"/>
      <w:r w:rsidRPr="004D5E58">
        <w:rPr>
          <w:rFonts w:asciiTheme="minorHAnsi" w:hAnsiTheme="minorHAnsi" w:cstheme="minorHAnsi"/>
          <w:sz w:val="16"/>
          <w:szCs w:val="16"/>
        </w:rPr>
        <w:t>Omigbodun</w:t>
      </w:r>
      <w:proofErr w:type="spellEnd"/>
      <w:r w:rsidRPr="004D5E58">
        <w:rPr>
          <w:rFonts w:asciiTheme="minorHAnsi" w:hAnsiTheme="minorHAnsi" w:cstheme="minorHAnsi"/>
          <w:sz w:val="16"/>
          <w:szCs w:val="16"/>
        </w:rPr>
        <w:t xml:space="preserve"> O, LA Rohde, </w:t>
      </w:r>
      <w:proofErr w:type="spellStart"/>
      <w:r w:rsidRPr="004D5E58">
        <w:rPr>
          <w:rFonts w:asciiTheme="minorHAnsi" w:hAnsiTheme="minorHAnsi" w:cstheme="minorHAnsi"/>
          <w:sz w:val="16"/>
          <w:szCs w:val="16"/>
        </w:rPr>
        <w:t>Srinath</w:t>
      </w:r>
      <w:proofErr w:type="spellEnd"/>
      <w:r w:rsidRPr="004D5E58">
        <w:rPr>
          <w:rFonts w:asciiTheme="minorHAnsi" w:hAnsiTheme="minorHAnsi" w:cstheme="minorHAnsi"/>
          <w:sz w:val="16"/>
          <w:szCs w:val="16"/>
        </w:rPr>
        <w:t xml:space="preserve"> S, </w:t>
      </w:r>
      <w:proofErr w:type="spellStart"/>
      <w:r w:rsidRPr="004D5E58">
        <w:rPr>
          <w:rFonts w:asciiTheme="minorHAnsi" w:hAnsiTheme="minorHAnsi" w:cstheme="minorHAnsi"/>
          <w:sz w:val="16"/>
          <w:szCs w:val="16"/>
        </w:rPr>
        <w:t>Ulkuer</w:t>
      </w:r>
      <w:proofErr w:type="spellEnd"/>
      <w:r w:rsidRPr="004D5E58">
        <w:rPr>
          <w:rFonts w:asciiTheme="minorHAnsi" w:hAnsiTheme="minorHAnsi" w:cstheme="minorHAnsi"/>
          <w:sz w:val="16"/>
          <w:szCs w:val="16"/>
        </w:rPr>
        <w:t xml:space="preserve"> N, Rahman A. Child and adolescent mental health worldwide: evidence for action. The Lancet (2011)378;22 </w:t>
      </w:r>
    </w:p>
  </w:footnote>
  <w:footnote w:id="36">
    <w:p w14:paraId="45639EA4" w14:textId="77777777" w:rsidR="00A22974" w:rsidRPr="009B6B9B" w:rsidRDefault="00A22974" w:rsidP="00A22974">
      <w:pPr>
        <w:pStyle w:val="FootnoteText"/>
        <w:rPr>
          <w:lang w:val="mi-NZ"/>
        </w:rPr>
      </w:pPr>
      <w:r w:rsidRPr="00732BD5">
        <w:rPr>
          <w:rStyle w:val="FootnoteReference"/>
          <w:rFonts w:asciiTheme="minorHAnsi" w:hAnsiTheme="minorHAnsi"/>
        </w:rPr>
        <w:footnoteRef/>
      </w:r>
      <w:r>
        <w:t xml:space="preserve"> </w:t>
      </w:r>
      <w:proofErr w:type="spellStart"/>
      <w:r w:rsidRPr="009B6B9B">
        <w:rPr>
          <w:rFonts w:eastAsia="Times New Roman"/>
          <w:sz w:val="16"/>
          <w:szCs w:val="16"/>
          <w:lang w:val="en-NZ"/>
        </w:rPr>
        <w:t>Durlak</w:t>
      </w:r>
      <w:proofErr w:type="spellEnd"/>
      <w:r w:rsidRPr="009B6B9B">
        <w:rPr>
          <w:rFonts w:eastAsia="Times New Roman"/>
          <w:sz w:val="16"/>
          <w:szCs w:val="16"/>
          <w:lang w:val="en-NZ"/>
        </w:rPr>
        <w:t xml:space="preserve"> JA, </w:t>
      </w:r>
      <w:proofErr w:type="spellStart"/>
      <w:r w:rsidRPr="009B6B9B">
        <w:rPr>
          <w:rFonts w:eastAsia="Times New Roman"/>
          <w:sz w:val="16"/>
          <w:szCs w:val="16"/>
          <w:lang w:val="en-NZ"/>
        </w:rPr>
        <w:t>Weissberg</w:t>
      </w:r>
      <w:proofErr w:type="spellEnd"/>
      <w:r w:rsidRPr="009B6B9B">
        <w:rPr>
          <w:rFonts w:eastAsia="Times New Roman"/>
          <w:sz w:val="16"/>
          <w:szCs w:val="16"/>
          <w:lang w:val="en-NZ"/>
        </w:rPr>
        <w:t xml:space="preserve"> RP, </w:t>
      </w:r>
      <w:proofErr w:type="spellStart"/>
      <w:r w:rsidRPr="009B6B9B">
        <w:rPr>
          <w:rFonts w:eastAsia="Times New Roman"/>
          <w:sz w:val="16"/>
          <w:szCs w:val="16"/>
          <w:lang w:val="en-NZ"/>
        </w:rPr>
        <w:t>Dymnicki</w:t>
      </w:r>
      <w:proofErr w:type="spellEnd"/>
      <w:r w:rsidRPr="009B6B9B">
        <w:rPr>
          <w:rFonts w:eastAsia="Times New Roman"/>
          <w:sz w:val="16"/>
          <w:szCs w:val="16"/>
          <w:lang w:val="en-NZ"/>
        </w:rPr>
        <w:t xml:space="preserve"> AB, Taylor RD, </w:t>
      </w:r>
      <w:proofErr w:type="spellStart"/>
      <w:r w:rsidRPr="009B6B9B">
        <w:rPr>
          <w:rFonts w:eastAsia="Times New Roman"/>
          <w:sz w:val="16"/>
          <w:szCs w:val="16"/>
          <w:lang w:val="en-NZ"/>
        </w:rPr>
        <w:t>Schellinger</w:t>
      </w:r>
      <w:proofErr w:type="spellEnd"/>
      <w:r w:rsidRPr="009B6B9B">
        <w:rPr>
          <w:rFonts w:eastAsia="Times New Roman"/>
          <w:sz w:val="16"/>
          <w:szCs w:val="16"/>
          <w:lang w:val="en-NZ"/>
        </w:rPr>
        <w:t xml:space="preserve"> KB. The Impact of Enhancing Students’ Social and Emotional Learning: A Meta-Analysis of </w:t>
      </w:r>
      <w:proofErr w:type="spellStart"/>
      <w:r w:rsidRPr="009B6B9B">
        <w:rPr>
          <w:rFonts w:eastAsia="Times New Roman"/>
          <w:sz w:val="16"/>
          <w:szCs w:val="16"/>
          <w:lang w:val="en-NZ"/>
        </w:rPr>
        <w:t>SchoolBased</w:t>
      </w:r>
      <w:proofErr w:type="spellEnd"/>
      <w:r w:rsidRPr="009B6B9B">
        <w:rPr>
          <w:rFonts w:eastAsia="Times New Roman"/>
          <w:sz w:val="16"/>
          <w:szCs w:val="16"/>
          <w:lang w:val="en-NZ"/>
        </w:rPr>
        <w:t xml:space="preserve"> Universal Interventions. Child Development 2011; 82(1): 405-32.</w:t>
      </w:r>
    </w:p>
  </w:footnote>
  <w:footnote w:id="37">
    <w:p w14:paraId="0A509EAF" w14:textId="43DC66BC" w:rsidR="00902A63" w:rsidRPr="00902A63" w:rsidRDefault="00902A63">
      <w:pPr>
        <w:pStyle w:val="FootnoteText"/>
        <w:rPr>
          <w:lang w:val="mi-NZ"/>
        </w:rPr>
      </w:pPr>
      <w:r w:rsidRPr="00732BD5">
        <w:rPr>
          <w:rStyle w:val="FootnoteReference"/>
          <w:rFonts w:asciiTheme="minorHAnsi" w:hAnsiTheme="minorHAnsi"/>
        </w:rPr>
        <w:footnoteRef/>
      </w:r>
      <w:r>
        <w:t xml:space="preserve"> </w:t>
      </w:r>
      <w:r w:rsidRPr="004B4AEC">
        <w:rPr>
          <w:rFonts w:asciiTheme="minorHAnsi" w:hAnsiTheme="minorHAnsi"/>
          <w:sz w:val="16"/>
          <w:szCs w:val="16"/>
        </w:rPr>
        <w:t>Ministry of Health</w:t>
      </w:r>
      <w:r w:rsidRPr="004B4AEC">
        <w:rPr>
          <w:rStyle w:val="apple-converted-space"/>
          <w:rFonts w:asciiTheme="minorHAnsi" w:hAnsiTheme="minorHAnsi"/>
          <w:sz w:val="16"/>
          <w:szCs w:val="16"/>
        </w:rPr>
        <w:t> </w:t>
      </w:r>
      <w:r>
        <w:rPr>
          <w:rFonts w:asciiTheme="minorHAnsi" w:hAnsiTheme="minorHAnsi"/>
          <w:sz w:val="16"/>
          <w:szCs w:val="16"/>
        </w:rPr>
        <w:t>Registration of Interest (ROI</w:t>
      </w:r>
      <w:r w:rsidRPr="004B4AEC">
        <w:rPr>
          <w:rFonts w:asciiTheme="minorHAnsi" w:hAnsiTheme="minorHAnsi"/>
          <w:sz w:val="16"/>
          <w:szCs w:val="16"/>
        </w:rPr>
        <w:t xml:space="preserve">): </w:t>
      </w:r>
      <w:r w:rsidRPr="004B4AEC">
        <w:rPr>
          <w:rFonts w:asciiTheme="minorHAnsi" w:hAnsiTheme="minorHAnsi"/>
          <w:i/>
          <w:iCs/>
          <w:sz w:val="16"/>
          <w:szCs w:val="16"/>
        </w:rPr>
        <w:t>Existing Initiatives for Investment in Building an Evidence Base (People with moderate mental health issues)</w:t>
      </w:r>
      <w:r w:rsidRPr="004B4AEC">
        <w:rPr>
          <w:rStyle w:val="apple-converted-space"/>
          <w:rFonts w:asciiTheme="minorHAnsi" w:hAnsiTheme="minorHAnsi"/>
          <w:i/>
          <w:iCs/>
          <w:sz w:val="16"/>
          <w:szCs w:val="16"/>
        </w:rPr>
        <w:t> </w:t>
      </w:r>
      <w:r w:rsidRPr="004B4AEC">
        <w:rPr>
          <w:rStyle w:val="apple-converted-space"/>
          <w:rFonts w:asciiTheme="minorHAnsi" w:hAnsiTheme="minorHAnsi"/>
          <w:iCs/>
          <w:sz w:val="16"/>
          <w:szCs w:val="16"/>
        </w:rPr>
        <w:t>Ministry of Health</w:t>
      </w:r>
      <w:r>
        <w:rPr>
          <w:rStyle w:val="apple-converted-space"/>
          <w:rFonts w:asciiTheme="minorHAnsi" w:hAnsiTheme="minorHAnsi"/>
          <w:iCs/>
          <w:sz w:val="16"/>
          <w:szCs w:val="16"/>
        </w:rPr>
        <w:t>,</w:t>
      </w:r>
      <w:r w:rsidRPr="004B4AEC">
        <w:rPr>
          <w:rStyle w:val="apple-converted-space"/>
          <w:rFonts w:asciiTheme="minorHAnsi" w:hAnsiTheme="minorHAnsi"/>
          <w:iCs/>
          <w:sz w:val="16"/>
          <w:szCs w:val="16"/>
        </w:rPr>
        <w:t xml:space="preserve"> </w:t>
      </w:r>
      <w:r>
        <w:rPr>
          <w:rStyle w:val="apple-converted-space"/>
          <w:rFonts w:asciiTheme="minorHAnsi" w:hAnsiTheme="minorHAnsi"/>
          <w:iCs/>
          <w:sz w:val="16"/>
          <w:szCs w:val="16"/>
        </w:rPr>
        <w:t xml:space="preserve">September 6, </w:t>
      </w:r>
      <w:r w:rsidRPr="004B4AEC">
        <w:rPr>
          <w:rStyle w:val="apple-converted-space"/>
          <w:rFonts w:asciiTheme="minorHAnsi" w:hAnsiTheme="minorHAnsi"/>
          <w:iCs/>
          <w:sz w:val="16"/>
          <w:szCs w:val="16"/>
        </w:rPr>
        <w:t>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400"/>
    <w:multiLevelType w:val="hybridMultilevel"/>
    <w:tmpl w:val="0F1C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B6FF3"/>
    <w:multiLevelType w:val="hybridMultilevel"/>
    <w:tmpl w:val="3A2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11E3F"/>
    <w:multiLevelType w:val="hybridMultilevel"/>
    <w:tmpl w:val="FB38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A663F"/>
    <w:multiLevelType w:val="hybridMultilevel"/>
    <w:tmpl w:val="BC5E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F0069"/>
    <w:multiLevelType w:val="hybridMultilevel"/>
    <w:tmpl w:val="DA74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0C23B1"/>
    <w:multiLevelType w:val="hybridMultilevel"/>
    <w:tmpl w:val="CA84B2B6"/>
    <w:lvl w:ilvl="0" w:tplc="BE322AD2">
      <w:numFmt w:val="bullet"/>
      <w:lvlText w:val="-"/>
      <w:lvlJc w:val="left"/>
      <w:pPr>
        <w:ind w:left="720" w:hanging="360"/>
      </w:pPr>
      <w:rPr>
        <w:rFonts w:ascii="Calibri" w:eastAsiaTheme="minorHAnsi" w:hAnsi="Calibri" w:cstheme="minorBidi" w:hint="default"/>
      </w:rPr>
    </w:lvl>
    <w:lvl w:ilvl="1" w:tplc="BE322AD2">
      <w:numFmt w:val="bullet"/>
      <w:lvlText w:val="-"/>
      <w:lvlJc w:val="left"/>
      <w:pPr>
        <w:ind w:left="1440" w:hanging="360"/>
      </w:pPr>
      <w:rPr>
        <w:rFonts w:ascii="Calibri" w:eastAsiaTheme="minorHAnsi" w:hAnsi="Calibri" w:cstheme="minorBidi"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49"/>
    <w:rsid w:val="000129FA"/>
    <w:rsid w:val="00017B66"/>
    <w:rsid w:val="00072E9B"/>
    <w:rsid w:val="000C1C5B"/>
    <w:rsid w:val="000C31EB"/>
    <w:rsid w:val="000E7A77"/>
    <w:rsid w:val="001466F0"/>
    <w:rsid w:val="00163584"/>
    <w:rsid w:val="00186027"/>
    <w:rsid w:val="001D5D97"/>
    <w:rsid w:val="002B62A9"/>
    <w:rsid w:val="002E4FF4"/>
    <w:rsid w:val="00302979"/>
    <w:rsid w:val="00376840"/>
    <w:rsid w:val="003E2AC8"/>
    <w:rsid w:val="0042498A"/>
    <w:rsid w:val="004D5E58"/>
    <w:rsid w:val="00532758"/>
    <w:rsid w:val="00534B18"/>
    <w:rsid w:val="005B1EBA"/>
    <w:rsid w:val="00600598"/>
    <w:rsid w:val="006B1026"/>
    <w:rsid w:val="00722F2C"/>
    <w:rsid w:val="00732BD5"/>
    <w:rsid w:val="00744857"/>
    <w:rsid w:val="008556B5"/>
    <w:rsid w:val="00861E8A"/>
    <w:rsid w:val="00890C3B"/>
    <w:rsid w:val="008D1055"/>
    <w:rsid w:val="008F4A49"/>
    <w:rsid w:val="00902A63"/>
    <w:rsid w:val="009808AB"/>
    <w:rsid w:val="009A74B1"/>
    <w:rsid w:val="009B6B9B"/>
    <w:rsid w:val="009C5315"/>
    <w:rsid w:val="009D0D31"/>
    <w:rsid w:val="00A1308C"/>
    <w:rsid w:val="00A209D0"/>
    <w:rsid w:val="00A22974"/>
    <w:rsid w:val="00AE12F8"/>
    <w:rsid w:val="00B231EF"/>
    <w:rsid w:val="00B7084C"/>
    <w:rsid w:val="00B767F7"/>
    <w:rsid w:val="00BB7469"/>
    <w:rsid w:val="00C32518"/>
    <w:rsid w:val="00C546FC"/>
    <w:rsid w:val="00C6341F"/>
    <w:rsid w:val="00CF0503"/>
    <w:rsid w:val="00D2515F"/>
    <w:rsid w:val="00DA2B4D"/>
    <w:rsid w:val="00E31384"/>
    <w:rsid w:val="00E44FE5"/>
    <w:rsid w:val="00E4566B"/>
    <w:rsid w:val="00EA3049"/>
    <w:rsid w:val="00FD4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C927"/>
  <w14:defaultImageDpi w14:val="32767"/>
  <w15:chartTrackingRefBased/>
  <w15:docId w15:val="{FD455BA0-6E43-5A4D-AD53-CA5A59A4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6FC"/>
    <w:rPr>
      <w:rFonts w:ascii="Times New Roman" w:eastAsia="Times New Roman" w:hAnsi="Times New Roman" w:cs="Times New Roman"/>
      <w:lang w:val="en-NZ"/>
    </w:rPr>
  </w:style>
  <w:style w:type="paragraph" w:styleId="Heading3">
    <w:name w:val="heading 3"/>
    <w:basedOn w:val="Normal"/>
    <w:link w:val="Heading3Char"/>
    <w:uiPriority w:val="9"/>
    <w:qFormat/>
    <w:rsid w:val="0018602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840"/>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8F4A49"/>
    <w:rPr>
      <w:rFonts w:eastAsiaTheme="minorHAnsi"/>
      <w:lang w:val="en-GB" w:eastAsia="en-GB"/>
    </w:rPr>
  </w:style>
  <w:style w:type="character" w:customStyle="1" w:styleId="FootnoteTextChar">
    <w:name w:val="Footnote Text Char"/>
    <w:basedOn w:val="DefaultParagraphFont"/>
    <w:link w:val="FootnoteText"/>
    <w:uiPriority w:val="99"/>
    <w:rsid w:val="008F4A49"/>
    <w:rPr>
      <w:rFonts w:ascii="Times New Roman" w:hAnsi="Times New Roman" w:cs="Times New Roman"/>
      <w:lang w:eastAsia="en-GB"/>
    </w:rPr>
  </w:style>
  <w:style w:type="character" w:styleId="FootnoteReference">
    <w:name w:val="footnote reference"/>
    <w:aliases w:val="fr"/>
    <w:basedOn w:val="DefaultParagraphFont"/>
    <w:uiPriority w:val="99"/>
    <w:unhideWhenUsed/>
    <w:rsid w:val="008F4A49"/>
    <w:rPr>
      <w:vertAlign w:val="superscript"/>
    </w:rPr>
  </w:style>
  <w:style w:type="paragraph" w:customStyle="1" w:styleId="p1">
    <w:name w:val="p1"/>
    <w:basedOn w:val="Normal"/>
    <w:rsid w:val="008F4A49"/>
    <w:rPr>
      <w:rFonts w:ascii="Calibri" w:eastAsiaTheme="minorHAnsi" w:hAnsi="Calibri"/>
      <w:sz w:val="18"/>
      <w:szCs w:val="18"/>
      <w:lang w:val="en-GB" w:eastAsia="en-GB"/>
    </w:rPr>
  </w:style>
  <w:style w:type="character" w:styleId="CommentReference">
    <w:name w:val="annotation reference"/>
    <w:basedOn w:val="DefaultParagraphFont"/>
    <w:uiPriority w:val="99"/>
    <w:semiHidden/>
    <w:unhideWhenUsed/>
    <w:rsid w:val="008F4A49"/>
    <w:rPr>
      <w:sz w:val="18"/>
      <w:szCs w:val="18"/>
    </w:rPr>
  </w:style>
  <w:style w:type="paragraph" w:styleId="CommentText">
    <w:name w:val="annotation text"/>
    <w:basedOn w:val="Normal"/>
    <w:link w:val="CommentTextChar"/>
    <w:uiPriority w:val="99"/>
    <w:unhideWhenUsed/>
    <w:rsid w:val="008F4A49"/>
    <w:rPr>
      <w:rFonts w:eastAsiaTheme="minorHAnsi"/>
      <w:lang w:val="en-GB" w:eastAsia="en-GB"/>
    </w:rPr>
  </w:style>
  <w:style w:type="character" w:customStyle="1" w:styleId="CommentTextChar">
    <w:name w:val="Comment Text Char"/>
    <w:basedOn w:val="DefaultParagraphFont"/>
    <w:link w:val="CommentText"/>
    <w:uiPriority w:val="99"/>
    <w:rsid w:val="008F4A49"/>
    <w:rPr>
      <w:rFonts w:ascii="Times New Roman" w:hAnsi="Times New Roman" w:cs="Times New Roman"/>
      <w:lang w:eastAsia="en-GB"/>
    </w:rPr>
  </w:style>
  <w:style w:type="paragraph" w:styleId="BalloonText">
    <w:name w:val="Balloon Text"/>
    <w:basedOn w:val="Normal"/>
    <w:link w:val="BalloonTextChar"/>
    <w:uiPriority w:val="99"/>
    <w:semiHidden/>
    <w:unhideWhenUsed/>
    <w:rsid w:val="008F4A49"/>
    <w:rPr>
      <w:rFonts w:eastAsiaTheme="minorHAnsi"/>
      <w:sz w:val="18"/>
      <w:szCs w:val="18"/>
    </w:rPr>
  </w:style>
  <w:style w:type="character" w:customStyle="1" w:styleId="BalloonTextChar">
    <w:name w:val="Balloon Text Char"/>
    <w:basedOn w:val="DefaultParagraphFont"/>
    <w:link w:val="BalloonText"/>
    <w:uiPriority w:val="99"/>
    <w:semiHidden/>
    <w:rsid w:val="008F4A49"/>
    <w:rPr>
      <w:rFonts w:ascii="Times New Roman" w:hAnsi="Times New Roman" w:cs="Times New Roman"/>
      <w:sz w:val="18"/>
      <w:szCs w:val="18"/>
      <w:lang w:val="en-NZ"/>
    </w:rPr>
  </w:style>
  <w:style w:type="character" w:customStyle="1" w:styleId="file-size">
    <w:name w:val="file-size"/>
    <w:basedOn w:val="DefaultParagraphFont"/>
    <w:rsid w:val="006B1026"/>
  </w:style>
  <w:style w:type="paragraph" w:customStyle="1" w:styleId="EndNoteBibliography">
    <w:name w:val="EndNote Bibliography"/>
    <w:basedOn w:val="Normal"/>
    <w:rsid w:val="006B1026"/>
    <w:rPr>
      <w:rFonts w:ascii="Calibri" w:eastAsiaTheme="minorHAnsi" w:hAnsi="Calibri" w:cstheme="minorBidi"/>
      <w:lang w:val="en-US"/>
    </w:rPr>
  </w:style>
  <w:style w:type="character" w:styleId="Hyperlink">
    <w:name w:val="Hyperlink"/>
    <w:basedOn w:val="DefaultParagraphFont"/>
    <w:uiPriority w:val="99"/>
    <w:unhideWhenUsed/>
    <w:rsid w:val="006B1026"/>
    <w:rPr>
      <w:color w:val="0563C1" w:themeColor="hyperlink"/>
      <w:u w:val="single"/>
    </w:rPr>
  </w:style>
  <w:style w:type="character" w:customStyle="1" w:styleId="Heading3Char">
    <w:name w:val="Heading 3 Char"/>
    <w:basedOn w:val="DefaultParagraphFont"/>
    <w:link w:val="Heading3"/>
    <w:uiPriority w:val="9"/>
    <w:rsid w:val="00186027"/>
    <w:rPr>
      <w:rFonts w:ascii="Times New Roman" w:eastAsia="Times New Roman" w:hAnsi="Times New Roman" w:cs="Times New Roman"/>
      <w:b/>
      <w:bCs/>
      <w:sz w:val="27"/>
      <w:szCs w:val="27"/>
      <w:lang w:val="en-NZ"/>
    </w:rPr>
  </w:style>
  <w:style w:type="character" w:styleId="FollowedHyperlink">
    <w:name w:val="FollowedHyperlink"/>
    <w:basedOn w:val="DefaultParagraphFont"/>
    <w:uiPriority w:val="99"/>
    <w:semiHidden/>
    <w:unhideWhenUsed/>
    <w:rsid w:val="00186027"/>
    <w:rPr>
      <w:color w:val="954F72" w:themeColor="followedHyperlink"/>
      <w:u w:val="single"/>
    </w:rPr>
  </w:style>
  <w:style w:type="character" w:customStyle="1" w:styleId="apple-converted-space">
    <w:name w:val="apple-converted-space"/>
    <w:basedOn w:val="DefaultParagraphFont"/>
    <w:rsid w:val="00902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0288">
      <w:bodyDiv w:val="1"/>
      <w:marLeft w:val="0"/>
      <w:marRight w:val="0"/>
      <w:marTop w:val="0"/>
      <w:marBottom w:val="0"/>
      <w:divBdr>
        <w:top w:val="none" w:sz="0" w:space="0" w:color="auto"/>
        <w:left w:val="none" w:sz="0" w:space="0" w:color="auto"/>
        <w:bottom w:val="none" w:sz="0" w:space="0" w:color="auto"/>
        <w:right w:val="none" w:sz="0" w:space="0" w:color="auto"/>
      </w:divBdr>
      <w:divsChild>
        <w:div w:id="402218411">
          <w:marLeft w:val="0"/>
          <w:marRight w:val="0"/>
          <w:marTop w:val="0"/>
          <w:marBottom w:val="0"/>
          <w:divBdr>
            <w:top w:val="none" w:sz="0" w:space="0" w:color="auto"/>
            <w:left w:val="none" w:sz="0" w:space="0" w:color="auto"/>
            <w:bottom w:val="none" w:sz="0" w:space="0" w:color="auto"/>
            <w:right w:val="none" w:sz="0" w:space="0" w:color="auto"/>
          </w:divBdr>
        </w:div>
      </w:divsChild>
    </w:div>
    <w:div w:id="298997698">
      <w:bodyDiv w:val="1"/>
      <w:marLeft w:val="0"/>
      <w:marRight w:val="0"/>
      <w:marTop w:val="0"/>
      <w:marBottom w:val="0"/>
      <w:divBdr>
        <w:top w:val="none" w:sz="0" w:space="0" w:color="auto"/>
        <w:left w:val="none" w:sz="0" w:space="0" w:color="auto"/>
        <w:bottom w:val="none" w:sz="0" w:space="0" w:color="auto"/>
        <w:right w:val="none" w:sz="0" w:space="0" w:color="auto"/>
      </w:divBdr>
    </w:div>
    <w:div w:id="510727481">
      <w:bodyDiv w:val="1"/>
      <w:marLeft w:val="0"/>
      <w:marRight w:val="0"/>
      <w:marTop w:val="0"/>
      <w:marBottom w:val="0"/>
      <w:divBdr>
        <w:top w:val="none" w:sz="0" w:space="0" w:color="auto"/>
        <w:left w:val="none" w:sz="0" w:space="0" w:color="auto"/>
        <w:bottom w:val="none" w:sz="0" w:space="0" w:color="auto"/>
        <w:right w:val="none" w:sz="0" w:space="0" w:color="auto"/>
      </w:divBdr>
      <w:divsChild>
        <w:div w:id="1942567007">
          <w:marLeft w:val="0"/>
          <w:marRight w:val="0"/>
          <w:marTop w:val="0"/>
          <w:marBottom w:val="0"/>
          <w:divBdr>
            <w:top w:val="none" w:sz="0" w:space="0" w:color="auto"/>
            <w:left w:val="none" w:sz="0" w:space="0" w:color="auto"/>
            <w:bottom w:val="none" w:sz="0" w:space="0" w:color="auto"/>
            <w:right w:val="none" w:sz="0" w:space="0" w:color="auto"/>
          </w:divBdr>
        </w:div>
      </w:divsChild>
    </w:div>
    <w:div w:id="637104650">
      <w:bodyDiv w:val="1"/>
      <w:marLeft w:val="0"/>
      <w:marRight w:val="0"/>
      <w:marTop w:val="0"/>
      <w:marBottom w:val="0"/>
      <w:divBdr>
        <w:top w:val="none" w:sz="0" w:space="0" w:color="auto"/>
        <w:left w:val="none" w:sz="0" w:space="0" w:color="auto"/>
        <w:bottom w:val="none" w:sz="0" w:space="0" w:color="auto"/>
        <w:right w:val="none" w:sz="0" w:space="0" w:color="auto"/>
      </w:divBdr>
    </w:div>
    <w:div w:id="1003506103">
      <w:bodyDiv w:val="1"/>
      <w:marLeft w:val="0"/>
      <w:marRight w:val="0"/>
      <w:marTop w:val="0"/>
      <w:marBottom w:val="0"/>
      <w:divBdr>
        <w:top w:val="none" w:sz="0" w:space="0" w:color="auto"/>
        <w:left w:val="none" w:sz="0" w:space="0" w:color="auto"/>
        <w:bottom w:val="none" w:sz="0" w:space="0" w:color="auto"/>
        <w:right w:val="none" w:sz="0" w:space="0" w:color="auto"/>
      </w:divBdr>
    </w:div>
    <w:div w:id="1086732983">
      <w:bodyDiv w:val="1"/>
      <w:marLeft w:val="0"/>
      <w:marRight w:val="0"/>
      <w:marTop w:val="0"/>
      <w:marBottom w:val="0"/>
      <w:divBdr>
        <w:top w:val="none" w:sz="0" w:space="0" w:color="auto"/>
        <w:left w:val="none" w:sz="0" w:space="0" w:color="auto"/>
        <w:bottom w:val="none" w:sz="0" w:space="0" w:color="auto"/>
        <w:right w:val="none" w:sz="0" w:space="0" w:color="auto"/>
      </w:divBdr>
    </w:div>
    <w:div w:id="1614050614">
      <w:bodyDiv w:val="1"/>
      <w:marLeft w:val="0"/>
      <w:marRight w:val="0"/>
      <w:marTop w:val="0"/>
      <w:marBottom w:val="0"/>
      <w:divBdr>
        <w:top w:val="none" w:sz="0" w:space="0" w:color="auto"/>
        <w:left w:val="none" w:sz="0" w:space="0" w:color="auto"/>
        <w:bottom w:val="none" w:sz="0" w:space="0" w:color="auto"/>
        <w:right w:val="none" w:sz="0" w:space="0" w:color="auto"/>
      </w:divBdr>
    </w:div>
    <w:div w:id="1795830423">
      <w:bodyDiv w:val="1"/>
      <w:marLeft w:val="0"/>
      <w:marRight w:val="0"/>
      <w:marTop w:val="0"/>
      <w:marBottom w:val="0"/>
      <w:divBdr>
        <w:top w:val="none" w:sz="0" w:space="0" w:color="auto"/>
        <w:left w:val="none" w:sz="0" w:space="0" w:color="auto"/>
        <w:bottom w:val="none" w:sz="0" w:space="0" w:color="auto"/>
        <w:right w:val="none" w:sz="0" w:space="0" w:color="auto"/>
      </w:divBdr>
    </w:div>
    <w:div w:id="1808427622">
      <w:bodyDiv w:val="1"/>
      <w:marLeft w:val="0"/>
      <w:marRight w:val="0"/>
      <w:marTop w:val="0"/>
      <w:marBottom w:val="0"/>
      <w:divBdr>
        <w:top w:val="none" w:sz="0" w:space="0" w:color="auto"/>
        <w:left w:val="none" w:sz="0" w:space="0" w:color="auto"/>
        <w:bottom w:val="none" w:sz="0" w:space="0" w:color="auto"/>
        <w:right w:val="none" w:sz="0" w:space="0" w:color="auto"/>
      </w:divBdr>
    </w:div>
    <w:div w:id="191472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eoplesmentalhealthreport.com/" TargetMode="External"/><Relationship Id="rId2" Type="http://schemas.openxmlformats.org/officeDocument/2006/relationships/hyperlink" Target="https://www.health.govt.nz/our-work/populations/maori-health/tatau-kahukura-maori-health-statistics/nga-mana-hauora-tutohu-health-status-indicators/major-causes-death" TargetMode="External"/><Relationship Id="rId1" Type="http://schemas.openxmlformats.org/officeDocument/2006/relationships/hyperlink" Target="https://doi.org/10.1177/1039856217715989" TargetMode="External"/><Relationship Id="rId5" Type="http://schemas.openxmlformats.org/officeDocument/2006/relationships/hyperlink" Target="https://doi.org/10.1111/1467-9507.00209" TargetMode="External"/><Relationship Id="rId4" Type="http://schemas.openxmlformats.org/officeDocument/2006/relationships/hyperlink" Target="https://www.oag.govt.nz/2017/mental-health/docs/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59096541A8C84294DF690F76A6D587" ma:contentTypeVersion="10" ma:contentTypeDescription="Create a new document." ma:contentTypeScope="" ma:versionID="1a1603d980ae6474780e5ff3b06bfff2">
  <xsd:schema xmlns:xsd="http://www.w3.org/2001/XMLSchema" xmlns:xs="http://www.w3.org/2001/XMLSchema" xmlns:p="http://schemas.microsoft.com/office/2006/metadata/properties" xmlns:ns2="ca7f84ae-91e1-4d53-aee0-3b2ef67d2067" xmlns:ns3="51c883d9-219c-4dc8-915c-da1b775fe6a6" targetNamespace="http://schemas.microsoft.com/office/2006/metadata/properties" ma:root="true" ma:fieldsID="06daf7e6f5e5f43c5037d5be9c434cce" ns2:_="" ns3:_="">
    <xsd:import namespace="ca7f84ae-91e1-4d53-aee0-3b2ef67d2067"/>
    <xsd:import namespace="51c883d9-219c-4dc8-915c-da1b775fe6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f84ae-91e1-4d53-aee0-3b2ef67d2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883d9-219c-4dc8-915c-da1b775fe6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153E4C-E430-47FE-9170-1C03379A011D}">
  <ds:schemaRefs>
    <ds:schemaRef ds:uri="http://schemas.openxmlformats.org/officeDocument/2006/bibliography"/>
  </ds:schemaRefs>
</ds:datastoreItem>
</file>

<file path=customXml/itemProps2.xml><?xml version="1.0" encoding="utf-8"?>
<ds:datastoreItem xmlns:ds="http://schemas.openxmlformats.org/officeDocument/2006/customXml" ds:itemID="{2611203E-D814-4E32-BA05-9936FC941CB9}"/>
</file>

<file path=customXml/itemProps3.xml><?xml version="1.0" encoding="utf-8"?>
<ds:datastoreItem xmlns:ds="http://schemas.openxmlformats.org/officeDocument/2006/customXml" ds:itemID="{5A483082-9A1D-42C1-B726-F400C51F56B6}"/>
</file>

<file path=customXml/itemProps4.xml><?xml version="1.0" encoding="utf-8"?>
<ds:datastoreItem xmlns:ds="http://schemas.openxmlformats.org/officeDocument/2006/customXml" ds:itemID="{DB9D1C51-3AF7-4588-B575-0D07E28A1ECC}"/>
</file>

<file path=docProps/app.xml><?xml version="1.0" encoding="utf-8"?>
<Properties xmlns="http://schemas.openxmlformats.org/officeDocument/2006/extended-properties" xmlns:vt="http://schemas.openxmlformats.org/officeDocument/2006/docPropsVTypes">
  <Template>Normal</Template>
  <TotalTime>2</TotalTime>
  <Pages>7</Pages>
  <Words>1896</Words>
  <Characters>10810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David Tipene-Leach</dc:creator>
  <cp:keywords/>
  <dc:description/>
  <cp:lastModifiedBy>Te Aniwa Reedy</cp:lastModifiedBy>
  <cp:revision>2</cp:revision>
  <dcterms:created xsi:type="dcterms:W3CDTF">2018-06-06T22:36:00Z</dcterms:created>
  <dcterms:modified xsi:type="dcterms:W3CDTF">2018-06-06T22:36:00Z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0x010100B559096541A8C84294DF690F76A6D587</vt:lpwstr>
  </property>
  <property fmtid="{D5CDD505-2E9C-101B-9397-08002B2CF9AE}" pid="3" name="Order">
    <vt:r8>11600</vt:r8>
  </property>
</Properties>
</file>